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spacing w:line="600" w:lineRule="exact"/>
        <w:rPr>
          <w:rFonts w:ascii="方正小标宋简体" w:eastAsia="方正小标宋简体"/>
          <w:kern w:val="0"/>
          <w:sz w:val="32"/>
          <w:szCs w:val="32"/>
        </w:rPr>
      </w:pPr>
    </w:p>
    <w:p>
      <w:pPr>
        <w:adjustRightInd w:val="0"/>
        <w:snapToGrid w:val="0"/>
        <w:spacing w:line="600" w:lineRule="exact"/>
        <w:jc w:val="center"/>
        <w:rPr>
          <w:rFonts w:eastAsia="方正小标宋简体"/>
          <w:kern w:val="0"/>
          <w:sz w:val="44"/>
          <w:szCs w:val="44"/>
        </w:rPr>
      </w:pPr>
      <w:bookmarkStart w:id="0" w:name="_GoBack"/>
      <w:r>
        <w:rPr>
          <w:rFonts w:eastAsia="方正小标宋简体"/>
          <w:kern w:val="0"/>
          <w:sz w:val="44"/>
          <w:szCs w:val="44"/>
        </w:rPr>
        <w:t>2020年全</w:t>
      </w:r>
      <w:r>
        <w:rPr>
          <w:rFonts w:hint="eastAsia" w:eastAsia="方正小标宋简体"/>
          <w:kern w:val="0"/>
          <w:sz w:val="44"/>
          <w:szCs w:val="44"/>
        </w:rPr>
        <w:t>市</w:t>
      </w:r>
      <w:r>
        <w:rPr>
          <w:rFonts w:eastAsia="方正小标宋简体"/>
          <w:kern w:val="0"/>
          <w:sz w:val="44"/>
          <w:szCs w:val="44"/>
        </w:rPr>
        <w:t>农业农村法治工作要点</w:t>
      </w:r>
    </w:p>
    <w:bookmarkEnd w:id="0"/>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2020年是</w:t>
      </w:r>
      <w:r>
        <w:rPr>
          <w:rFonts w:hint="eastAsia" w:eastAsia="仿宋_GB2312"/>
          <w:kern w:val="0"/>
          <w:sz w:val="32"/>
          <w:szCs w:val="32"/>
        </w:rPr>
        <w:t>打赢脱贫攻坚战和</w:t>
      </w:r>
      <w:r>
        <w:rPr>
          <w:rFonts w:eastAsia="仿宋_GB2312"/>
          <w:kern w:val="0"/>
          <w:sz w:val="32"/>
          <w:szCs w:val="32"/>
        </w:rPr>
        <w:t>全面建成小康社会决胜之年，做好农业农村法治工作</w:t>
      </w:r>
      <w:r>
        <w:rPr>
          <w:rFonts w:hint="eastAsia" w:eastAsia="仿宋_GB2312"/>
          <w:kern w:val="0"/>
          <w:sz w:val="32"/>
          <w:szCs w:val="32"/>
        </w:rPr>
        <w:t>意义</w:t>
      </w:r>
      <w:r>
        <w:rPr>
          <w:rFonts w:eastAsia="仿宋_GB2312"/>
          <w:kern w:val="0"/>
          <w:sz w:val="32"/>
          <w:szCs w:val="32"/>
        </w:rPr>
        <w:t>重</w:t>
      </w:r>
      <w:r>
        <w:rPr>
          <w:rFonts w:hint="eastAsia" w:eastAsia="仿宋_GB2312"/>
          <w:kern w:val="0"/>
          <w:sz w:val="32"/>
          <w:szCs w:val="32"/>
        </w:rPr>
        <w:t>大</w:t>
      </w:r>
      <w:r>
        <w:rPr>
          <w:rFonts w:eastAsia="仿宋_GB2312"/>
          <w:kern w:val="0"/>
          <w:sz w:val="32"/>
          <w:szCs w:val="32"/>
        </w:rPr>
        <w:t>。全</w:t>
      </w:r>
      <w:r>
        <w:rPr>
          <w:rFonts w:hint="eastAsia" w:eastAsia="仿宋_GB2312"/>
          <w:kern w:val="0"/>
          <w:sz w:val="32"/>
          <w:szCs w:val="32"/>
        </w:rPr>
        <w:t>市</w:t>
      </w:r>
      <w:r>
        <w:rPr>
          <w:rFonts w:eastAsia="仿宋_GB2312"/>
          <w:kern w:val="0"/>
          <w:sz w:val="32"/>
          <w:szCs w:val="32"/>
        </w:rPr>
        <w:t>农业农村</w:t>
      </w:r>
      <w:r>
        <w:rPr>
          <w:rFonts w:hint="eastAsia" w:eastAsia="仿宋_GB2312"/>
          <w:kern w:val="0"/>
          <w:sz w:val="32"/>
          <w:szCs w:val="32"/>
        </w:rPr>
        <w:t>工作</w:t>
      </w:r>
      <w:r>
        <w:rPr>
          <w:rFonts w:eastAsia="仿宋_GB2312"/>
          <w:kern w:val="0"/>
          <w:sz w:val="32"/>
          <w:szCs w:val="32"/>
        </w:rPr>
        <w:t>部门要坚持以习近平新时代中国特色社会主义思想为指导，全面贯彻党的</w:t>
      </w:r>
      <w:r>
        <w:rPr>
          <w:rFonts w:hint="eastAsia" w:eastAsia="仿宋_GB2312"/>
          <w:kern w:val="0"/>
          <w:sz w:val="32"/>
          <w:szCs w:val="32"/>
        </w:rPr>
        <w:t>十九大和</w:t>
      </w:r>
      <w:r>
        <w:rPr>
          <w:rFonts w:eastAsia="仿宋_GB2312"/>
          <w:kern w:val="0"/>
          <w:sz w:val="32"/>
          <w:szCs w:val="32"/>
        </w:rPr>
        <w:t>十九届</w:t>
      </w:r>
      <w:r>
        <w:rPr>
          <w:rFonts w:hint="eastAsia" w:eastAsia="仿宋_GB2312"/>
          <w:kern w:val="0"/>
          <w:sz w:val="32"/>
          <w:szCs w:val="32"/>
        </w:rPr>
        <w:t>二中、三中、</w:t>
      </w:r>
      <w:r>
        <w:rPr>
          <w:rFonts w:eastAsia="仿宋_GB2312"/>
          <w:kern w:val="0"/>
          <w:sz w:val="32"/>
          <w:szCs w:val="32"/>
        </w:rPr>
        <w:t>四中全会精神、习近平总书记关于“三农”工作重要论述和全面依法治国新理念新思想新战略，对标对表决战脱贫攻坚、决胜全面小康，以推进立法协调、执法监督、普法宣传、依法行政为重点，强化举措，深抓落实，加快构建依法治农、依法兴农、依法护农体制机制，为实施乡村振兴战略、推进乡村治理体系和治理能力现代化提供有力保障。</w:t>
      </w:r>
    </w:p>
    <w:p>
      <w:pPr>
        <w:adjustRightInd w:val="0"/>
        <w:snapToGrid w:val="0"/>
        <w:spacing w:line="600" w:lineRule="exact"/>
        <w:ind w:firstLine="640" w:firstLineChars="200"/>
        <w:rPr>
          <w:rFonts w:eastAsia="黑体"/>
          <w:kern w:val="0"/>
          <w:sz w:val="32"/>
          <w:szCs w:val="32"/>
        </w:rPr>
      </w:pPr>
      <w:r>
        <w:rPr>
          <w:rFonts w:eastAsia="黑体"/>
          <w:kern w:val="0"/>
          <w:sz w:val="32"/>
          <w:szCs w:val="32"/>
        </w:rPr>
        <w:t>一、推进完善涉农法律法规体系</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1．加强涉农重点领域立法研究。</w:t>
      </w:r>
      <w:r>
        <w:rPr>
          <w:rFonts w:eastAsia="仿宋_GB2312"/>
          <w:kern w:val="0"/>
          <w:sz w:val="32"/>
          <w:szCs w:val="32"/>
        </w:rPr>
        <w:t>立足构建完备的农业农村法律法规体系，围绕实施乡村振兴战略，坚持探索、创新，组织开展保障粮食和农产品供给、农业投入品管理、农村宅基地管理、农村社会事业发展、法治乡村建设、农村集体经济组织规范等法规制度研究，为立法提供实践依据。（</w:t>
      </w:r>
      <w:r>
        <w:rPr>
          <w:rFonts w:eastAsia="楷体_GB2312"/>
          <w:kern w:val="0"/>
          <w:sz w:val="32"/>
          <w:szCs w:val="32"/>
        </w:rPr>
        <w:t>责任单位：</w:t>
      </w:r>
      <w:r>
        <w:rPr>
          <w:rFonts w:hint="eastAsia" w:eastAsia="楷体_GB2312"/>
          <w:kern w:val="0"/>
          <w:sz w:val="32"/>
          <w:szCs w:val="32"/>
        </w:rPr>
        <w:t>局相关科室、局</w:t>
      </w:r>
      <w:r>
        <w:rPr>
          <w:rFonts w:eastAsia="楷体_GB2312"/>
          <w:kern w:val="0"/>
          <w:sz w:val="32"/>
          <w:szCs w:val="32"/>
        </w:rPr>
        <w:t>属相关单位）</w:t>
      </w:r>
    </w:p>
    <w:p>
      <w:pPr>
        <w:adjustRightInd w:val="0"/>
        <w:snapToGrid w:val="0"/>
        <w:spacing w:line="600" w:lineRule="exact"/>
        <w:ind w:firstLine="640" w:firstLineChars="200"/>
        <w:rPr>
          <w:rFonts w:eastAsia="楷体_GB2312"/>
          <w:kern w:val="0"/>
          <w:sz w:val="32"/>
          <w:szCs w:val="32"/>
        </w:rPr>
      </w:pPr>
      <w:r>
        <w:rPr>
          <w:rFonts w:hint="eastAsia" w:eastAsia="楷体_GB2312"/>
          <w:kern w:val="0"/>
          <w:sz w:val="32"/>
          <w:szCs w:val="32"/>
        </w:rPr>
        <w:t>2</w:t>
      </w:r>
      <w:r>
        <w:rPr>
          <w:rFonts w:eastAsia="楷体_GB2312"/>
          <w:kern w:val="0"/>
          <w:sz w:val="32"/>
          <w:szCs w:val="32"/>
        </w:rPr>
        <w:t>．健全涉农法规规章清理机制</w:t>
      </w:r>
      <w:r>
        <w:rPr>
          <w:rFonts w:eastAsia="仿宋_GB2312"/>
          <w:kern w:val="0"/>
          <w:sz w:val="32"/>
          <w:szCs w:val="32"/>
        </w:rPr>
        <w:t>。建立涉农法规、规章、</w:t>
      </w:r>
      <w:r>
        <w:rPr>
          <w:rFonts w:hint="eastAsia" w:eastAsia="仿宋_GB2312"/>
          <w:kern w:val="0"/>
          <w:sz w:val="32"/>
          <w:szCs w:val="32"/>
        </w:rPr>
        <w:t>市</w:t>
      </w:r>
      <w:r>
        <w:rPr>
          <w:rFonts w:eastAsia="仿宋_GB2312"/>
          <w:kern w:val="0"/>
          <w:sz w:val="32"/>
          <w:szCs w:val="32"/>
        </w:rPr>
        <w:t>政府和</w:t>
      </w:r>
      <w:r>
        <w:rPr>
          <w:rFonts w:hint="eastAsia" w:eastAsia="仿宋_GB2312"/>
          <w:kern w:val="0"/>
          <w:sz w:val="32"/>
          <w:szCs w:val="32"/>
        </w:rPr>
        <w:t>局</w:t>
      </w:r>
      <w:r>
        <w:rPr>
          <w:rFonts w:eastAsia="仿宋_GB2312"/>
          <w:kern w:val="0"/>
          <w:sz w:val="32"/>
          <w:szCs w:val="32"/>
        </w:rPr>
        <w:t>规范性文件动态清单，完善</w:t>
      </w:r>
      <w:r>
        <w:rPr>
          <w:rFonts w:hint="eastAsia" w:eastAsia="仿宋_GB2312"/>
          <w:kern w:val="0"/>
          <w:sz w:val="32"/>
          <w:szCs w:val="32"/>
        </w:rPr>
        <w:t>局</w:t>
      </w:r>
      <w:r>
        <w:rPr>
          <w:rFonts w:eastAsia="仿宋_GB2312"/>
          <w:kern w:val="0"/>
          <w:sz w:val="32"/>
          <w:szCs w:val="32"/>
        </w:rPr>
        <w:t>属单位配合、专家协助审查制度，推进法规、规章、规范性文件清理工作常态化，依法撤销和纠正“奇葩文件”，确保涉农法规、规章、规范性文件合法有效。（</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办公室、</w:t>
      </w:r>
      <w:r>
        <w:rPr>
          <w:rFonts w:hint="eastAsia" w:eastAsia="楷体_GB2312"/>
          <w:kern w:val="0"/>
          <w:sz w:val="32"/>
          <w:szCs w:val="32"/>
        </w:rPr>
        <w:t>局</w:t>
      </w:r>
      <w:r>
        <w:rPr>
          <w:rFonts w:eastAsia="楷体_GB2312"/>
          <w:kern w:val="0"/>
          <w:sz w:val="32"/>
          <w:szCs w:val="32"/>
        </w:rPr>
        <w:t>属相关单位）</w:t>
      </w:r>
    </w:p>
    <w:p>
      <w:pPr>
        <w:adjustRightInd w:val="0"/>
        <w:snapToGrid w:val="0"/>
        <w:spacing w:line="600" w:lineRule="exact"/>
        <w:ind w:firstLine="640" w:firstLineChars="200"/>
        <w:rPr>
          <w:rFonts w:eastAsia="黑体"/>
          <w:kern w:val="0"/>
          <w:sz w:val="32"/>
          <w:szCs w:val="32"/>
        </w:rPr>
      </w:pPr>
      <w:r>
        <w:rPr>
          <w:rFonts w:eastAsia="黑体"/>
          <w:kern w:val="0"/>
          <w:sz w:val="32"/>
          <w:szCs w:val="32"/>
        </w:rPr>
        <w:t>二、健全农业综合</w:t>
      </w:r>
      <w:r>
        <w:rPr>
          <w:rFonts w:hint="eastAsia" w:eastAsia="黑体"/>
          <w:kern w:val="0"/>
          <w:sz w:val="32"/>
          <w:szCs w:val="32"/>
        </w:rPr>
        <w:t>行政</w:t>
      </w:r>
      <w:r>
        <w:rPr>
          <w:rFonts w:eastAsia="黑体"/>
          <w:kern w:val="0"/>
          <w:sz w:val="32"/>
          <w:szCs w:val="32"/>
        </w:rPr>
        <w:t>执法体制机制</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1．加快农业综合</w:t>
      </w:r>
      <w:r>
        <w:rPr>
          <w:rFonts w:hint="eastAsia" w:eastAsia="楷体_GB2312"/>
          <w:kern w:val="0"/>
          <w:sz w:val="32"/>
          <w:szCs w:val="32"/>
        </w:rPr>
        <w:t>行政</w:t>
      </w:r>
      <w:r>
        <w:rPr>
          <w:rFonts w:eastAsia="楷体_GB2312"/>
          <w:kern w:val="0"/>
          <w:sz w:val="32"/>
          <w:szCs w:val="32"/>
        </w:rPr>
        <w:t>执法改革步伐。</w:t>
      </w:r>
      <w:r>
        <w:rPr>
          <w:rFonts w:eastAsia="仿宋_GB2312"/>
          <w:kern w:val="0"/>
          <w:sz w:val="32"/>
          <w:szCs w:val="32"/>
        </w:rPr>
        <w:t>全面贯彻落实中央关于深化农业综合</w:t>
      </w:r>
      <w:r>
        <w:rPr>
          <w:rFonts w:hint="eastAsia" w:eastAsia="仿宋_GB2312"/>
          <w:kern w:val="0"/>
          <w:sz w:val="32"/>
          <w:szCs w:val="32"/>
        </w:rPr>
        <w:t>行政</w:t>
      </w:r>
      <w:r>
        <w:rPr>
          <w:rFonts w:eastAsia="仿宋_GB2312"/>
          <w:kern w:val="0"/>
          <w:sz w:val="32"/>
          <w:szCs w:val="32"/>
        </w:rPr>
        <w:t>执法改革决策部署，按照省</w:t>
      </w:r>
      <w:r>
        <w:rPr>
          <w:rFonts w:hint="eastAsia" w:eastAsia="仿宋_GB2312"/>
          <w:kern w:val="0"/>
          <w:sz w:val="32"/>
          <w:szCs w:val="32"/>
        </w:rPr>
        <w:t>市</w:t>
      </w:r>
      <w:r>
        <w:rPr>
          <w:rFonts w:eastAsia="仿宋_GB2312"/>
          <w:kern w:val="0"/>
          <w:sz w:val="32"/>
          <w:szCs w:val="32"/>
        </w:rPr>
        <w:t>重点工作要求，建立改革进度半月报告和不定期督查制度，强化监督考核，加快推进农业综合</w:t>
      </w:r>
      <w:r>
        <w:rPr>
          <w:rFonts w:hint="eastAsia" w:eastAsia="仿宋_GB2312"/>
          <w:kern w:val="0"/>
          <w:sz w:val="32"/>
          <w:szCs w:val="32"/>
        </w:rPr>
        <w:t>行政</w:t>
      </w:r>
      <w:r>
        <w:rPr>
          <w:rFonts w:eastAsia="仿宋_GB2312"/>
          <w:kern w:val="0"/>
          <w:sz w:val="32"/>
          <w:szCs w:val="32"/>
        </w:rPr>
        <w:t>执法改革，确保市级4月底、县</w:t>
      </w:r>
      <w:r>
        <w:rPr>
          <w:rFonts w:hint="eastAsia" w:eastAsia="仿宋_GB2312"/>
          <w:kern w:val="0"/>
          <w:sz w:val="32"/>
          <w:szCs w:val="32"/>
        </w:rPr>
        <w:t>区</w:t>
      </w:r>
      <w:r>
        <w:rPr>
          <w:rFonts w:eastAsia="仿宋_GB2312"/>
          <w:kern w:val="0"/>
          <w:sz w:val="32"/>
          <w:szCs w:val="32"/>
        </w:rPr>
        <w:t>6月底前，全面落实执法机构人员划转、队伍组建、办公场所；市级6月底、县</w:t>
      </w:r>
      <w:r>
        <w:rPr>
          <w:rFonts w:hint="eastAsia" w:eastAsia="仿宋_GB2312"/>
          <w:kern w:val="0"/>
          <w:sz w:val="32"/>
          <w:szCs w:val="32"/>
        </w:rPr>
        <w:t>区</w:t>
      </w:r>
      <w:r>
        <w:rPr>
          <w:rFonts w:eastAsia="仿宋_GB2312"/>
          <w:kern w:val="0"/>
          <w:sz w:val="32"/>
          <w:szCs w:val="32"/>
        </w:rPr>
        <w:t>9月底前，完成改革扫尾工作，健全农业综合</w:t>
      </w:r>
      <w:r>
        <w:rPr>
          <w:rFonts w:hint="eastAsia" w:eastAsia="仿宋_GB2312"/>
          <w:kern w:val="0"/>
          <w:sz w:val="32"/>
          <w:szCs w:val="32"/>
        </w:rPr>
        <w:t>行政</w:t>
      </w:r>
      <w:r>
        <w:rPr>
          <w:rFonts w:eastAsia="仿宋_GB2312"/>
          <w:kern w:val="0"/>
          <w:sz w:val="32"/>
          <w:szCs w:val="32"/>
        </w:rPr>
        <w:t>执法体系。（</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、人事</w:t>
      </w:r>
      <w:r>
        <w:rPr>
          <w:rFonts w:hint="eastAsia" w:eastAsia="楷体_GB2312"/>
          <w:kern w:val="0"/>
          <w:sz w:val="32"/>
          <w:szCs w:val="32"/>
        </w:rPr>
        <w:t>科</w:t>
      </w:r>
      <w:r>
        <w:rPr>
          <w:rFonts w:eastAsia="楷体_GB2312"/>
          <w:kern w:val="0"/>
          <w:sz w:val="32"/>
          <w:szCs w:val="32"/>
        </w:rPr>
        <w:t>、财务</w:t>
      </w:r>
      <w:r>
        <w:rPr>
          <w:rFonts w:hint="eastAsia" w:eastAsia="楷体_GB2312"/>
          <w:kern w:val="0"/>
          <w:sz w:val="32"/>
          <w:szCs w:val="32"/>
        </w:rPr>
        <w:t>科</w:t>
      </w:r>
      <w:r>
        <w:rPr>
          <w:rFonts w:eastAsia="楷体_GB2312"/>
          <w:kern w:val="0"/>
          <w:sz w:val="32"/>
          <w:szCs w:val="32"/>
        </w:rPr>
        <w:t>、</w:t>
      </w:r>
      <w:r>
        <w:rPr>
          <w:rFonts w:hint="eastAsia" w:eastAsia="楷体_GB2312"/>
          <w:kern w:val="0"/>
          <w:sz w:val="32"/>
          <w:szCs w:val="32"/>
        </w:rPr>
        <w:t>办公室、局</w:t>
      </w:r>
      <w:r>
        <w:rPr>
          <w:rFonts w:eastAsia="楷体_GB2312"/>
          <w:kern w:val="0"/>
          <w:sz w:val="32"/>
          <w:szCs w:val="32"/>
        </w:rPr>
        <w:t>属相关单位）</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2．加强执法队伍和能力建设。</w:t>
      </w:r>
      <w:r>
        <w:rPr>
          <w:rFonts w:eastAsia="仿宋_GB2312"/>
          <w:kern w:val="0"/>
          <w:sz w:val="32"/>
          <w:szCs w:val="32"/>
        </w:rPr>
        <w:t>组织开展农业综合</w:t>
      </w:r>
      <w:r>
        <w:rPr>
          <w:rFonts w:hint="eastAsia" w:eastAsia="仿宋_GB2312"/>
          <w:kern w:val="0"/>
          <w:sz w:val="32"/>
          <w:szCs w:val="32"/>
        </w:rPr>
        <w:t>行政</w:t>
      </w:r>
      <w:r>
        <w:rPr>
          <w:rFonts w:eastAsia="仿宋_GB2312"/>
          <w:kern w:val="0"/>
          <w:sz w:val="32"/>
          <w:szCs w:val="32"/>
        </w:rPr>
        <w:t>执法队伍建设年活动，制定执法队伍培训计划，加大执法人员培训力度，加快建设一支高素质的农业综合</w:t>
      </w:r>
      <w:r>
        <w:rPr>
          <w:rFonts w:hint="eastAsia" w:eastAsia="仿宋_GB2312"/>
          <w:kern w:val="0"/>
          <w:sz w:val="32"/>
          <w:szCs w:val="32"/>
        </w:rPr>
        <w:t>行政</w:t>
      </w:r>
      <w:r>
        <w:rPr>
          <w:rFonts w:eastAsia="仿宋_GB2312"/>
          <w:kern w:val="0"/>
          <w:sz w:val="32"/>
          <w:szCs w:val="32"/>
        </w:rPr>
        <w:t>执法队伍。推动市县落实执法经费保障、执法装备配备和执法着装统一，加强农业综合</w:t>
      </w:r>
      <w:r>
        <w:rPr>
          <w:rFonts w:hint="eastAsia" w:eastAsia="仿宋_GB2312"/>
          <w:kern w:val="0"/>
          <w:sz w:val="32"/>
          <w:szCs w:val="32"/>
        </w:rPr>
        <w:t>行政</w:t>
      </w:r>
      <w:r>
        <w:rPr>
          <w:rFonts w:eastAsia="仿宋_GB2312"/>
          <w:kern w:val="0"/>
          <w:sz w:val="32"/>
          <w:szCs w:val="32"/>
        </w:rPr>
        <w:t>执法能力建设。加快农业执法信息化建设，依托</w:t>
      </w:r>
      <w:r>
        <w:rPr>
          <w:rFonts w:hint="eastAsia" w:eastAsia="仿宋_GB2312"/>
          <w:kern w:val="0"/>
          <w:sz w:val="32"/>
          <w:szCs w:val="32"/>
        </w:rPr>
        <w:t>市</w:t>
      </w:r>
      <w:r>
        <w:rPr>
          <w:rFonts w:eastAsia="仿宋_GB2312"/>
          <w:kern w:val="0"/>
          <w:sz w:val="32"/>
          <w:szCs w:val="32"/>
        </w:rPr>
        <w:t>农业农村大数据平台，建立与全国农业综合执法信息共享平台互通的全</w:t>
      </w:r>
      <w:r>
        <w:rPr>
          <w:rFonts w:hint="eastAsia" w:eastAsia="仿宋_GB2312"/>
          <w:kern w:val="0"/>
          <w:sz w:val="32"/>
          <w:szCs w:val="32"/>
        </w:rPr>
        <w:t>市</w:t>
      </w:r>
      <w:r>
        <w:rPr>
          <w:rFonts w:eastAsia="仿宋_GB2312"/>
          <w:kern w:val="0"/>
          <w:sz w:val="32"/>
          <w:szCs w:val="32"/>
        </w:rPr>
        <w:t>农业综合执法系统，开展农业综合执法示范窗口和示范单位创建，加快提升全</w:t>
      </w:r>
      <w:r>
        <w:rPr>
          <w:rFonts w:hint="eastAsia" w:eastAsia="仿宋_GB2312"/>
          <w:kern w:val="0"/>
          <w:sz w:val="32"/>
          <w:szCs w:val="32"/>
        </w:rPr>
        <w:t>市</w:t>
      </w:r>
      <w:r>
        <w:rPr>
          <w:rFonts w:eastAsia="仿宋_GB2312"/>
          <w:kern w:val="0"/>
          <w:sz w:val="32"/>
          <w:szCs w:val="32"/>
        </w:rPr>
        <w:t>农业执法能力和水平。（</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w:t>
      </w:r>
      <w:r>
        <w:rPr>
          <w:rFonts w:hint="eastAsia" w:eastAsia="楷体_GB2312"/>
          <w:kern w:val="0"/>
          <w:sz w:val="32"/>
          <w:szCs w:val="32"/>
        </w:rPr>
        <w:t>办公室</w:t>
      </w:r>
      <w:r>
        <w:rPr>
          <w:rFonts w:eastAsia="楷体_GB2312"/>
          <w:kern w:val="0"/>
          <w:sz w:val="32"/>
          <w:szCs w:val="32"/>
        </w:rPr>
        <w:t>、</w:t>
      </w:r>
      <w:r>
        <w:rPr>
          <w:rFonts w:hint="eastAsia" w:eastAsia="楷体_GB2312"/>
          <w:kern w:val="0"/>
          <w:sz w:val="32"/>
          <w:szCs w:val="32"/>
        </w:rPr>
        <w:t>执法支队、局</w:t>
      </w:r>
      <w:r>
        <w:rPr>
          <w:rFonts w:eastAsia="楷体_GB2312"/>
          <w:kern w:val="0"/>
          <w:sz w:val="32"/>
          <w:szCs w:val="32"/>
        </w:rPr>
        <w:t>属相关单位）</w:t>
      </w:r>
    </w:p>
    <w:p>
      <w:pPr>
        <w:pStyle w:val="7"/>
        <w:widowControl w:val="0"/>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楷体_GB2312"/>
          <w:snapToGrid w:val="0"/>
          <w:sz w:val="32"/>
          <w:szCs w:val="32"/>
        </w:rPr>
      </w:pPr>
      <w:r>
        <w:rPr>
          <w:rFonts w:ascii="Times New Roman" w:hAnsi="Times New Roman" w:eastAsia="楷体_GB2312"/>
          <w:snapToGrid w:val="0"/>
          <w:sz w:val="32"/>
          <w:szCs w:val="32"/>
        </w:rPr>
        <w:t>3．强化农业行政执法监督。</w:t>
      </w:r>
      <w:r>
        <w:rPr>
          <w:rFonts w:ascii="Times New Roman" w:hAnsi="Times New Roman" w:eastAsia="仿宋_GB2312"/>
          <w:snapToGrid w:val="0"/>
          <w:sz w:val="32"/>
          <w:szCs w:val="32"/>
        </w:rPr>
        <w:t>制定《</w:t>
      </w:r>
      <w:r>
        <w:rPr>
          <w:rFonts w:hint="eastAsia" w:ascii="Times New Roman" w:hAnsi="Times New Roman" w:eastAsia="仿宋_GB2312"/>
          <w:snapToGrid w:val="0"/>
          <w:sz w:val="32"/>
          <w:szCs w:val="32"/>
        </w:rPr>
        <w:t>淮南市</w:t>
      </w:r>
      <w:r>
        <w:rPr>
          <w:rFonts w:ascii="Times New Roman" w:hAnsi="Times New Roman" w:eastAsia="仿宋_GB2312"/>
          <w:snapToGrid w:val="0"/>
          <w:sz w:val="32"/>
          <w:szCs w:val="32"/>
        </w:rPr>
        <w:t>农业综合行政执法事项指导目录》，指导各级农业综合执法机构依法全面履行法定职责，深入落实农业行政执法公示、执法全过程记录、重大执法决定法制审核</w:t>
      </w:r>
      <w:r>
        <w:rPr>
          <w:rFonts w:hint="eastAsia" w:ascii="Times New Roman" w:hAnsi="Times New Roman" w:eastAsia="仿宋_GB2312"/>
          <w:snapToGrid w:val="0"/>
          <w:sz w:val="32"/>
          <w:szCs w:val="32"/>
        </w:rPr>
        <w:t>等</w:t>
      </w:r>
      <w:r>
        <w:rPr>
          <w:rFonts w:ascii="Times New Roman" w:hAnsi="Times New Roman" w:eastAsia="仿宋_GB2312"/>
          <w:snapToGrid w:val="0"/>
          <w:sz w:val="32"/>
          <w:szCs w:val="32"/>
        </w:rPr>
        <w:t>“三项制度”配套制度</w:t>
      </w:r>
      <w:r>
        <w:rPr>
          <w:rFonts w:hint="eastAsia" w:ascii="Times New Roman" w:hAnsi="Times New Roman" w:eastAsia="仿宋_GB2312"/>
          <w:snapToGrid w:val="0"/>
          <w:sz w:val="32"/>
          <w:szCs w:val="32"/>
        </w:rPr>
        <w:t>。严格执行</w:t>
      </w:r>
      <w:r>
        <w:rPr>
          <w:rFonts w:ascii="Times New Roman" w:hAnsi="Times New Roman" w:eastAsia="仿宋_GB2312"/>
          <w:snapToGrid w:val="0"/>
          <w:sz w:val="32"/>
          <w:szCs w:val="32"/>
        </w:rPr>
        <w:t>农业行政处罚自由裁量权基准，规范农业行政处罚程序，开展农业行政处罚案卷评查活动，加强执法监督，切实做到严格规范公正文明执法。（</w:t>
      </w:r>
      <w:r>
        <w:rPr>
          <w:rFonts w:ascii="Times New Roman" w:hAnsi="Times New Roman" w:eastAsia="楷体_GB2312"/>
          <w:snapToGrid w:val="0"/>
          <w:sz w:val="32"/>
          <w:szCs w:val="32"/>
        </w:rPr>
        <w:t>责任单位：</w:t>
      </w:r>
      <w:r>
        <w:rPr>
          <w:rFonts w:hint="eastAsia" w:ascii="Times New Roman" w:hAnsi="Times New Roman" w:eastAsia="楷体_GB2312"/>
          <w:snapToGrid w:val="0"/>
          <w:sz w:val="32"/>
          <w:szCs w:val="32"/>
        </w:rPr>
        <w:t>局</w:t>
      </w:r>
      <w:r>
        <w:rPr>
          <w:rFonts w:ascii="Times New Roman" w:hAnsi="Times New Roman" w:eastAsia="楷体_GB2312"/>
          <w:snapToGrid w:val="0"/>
          <w:sz w:val="32"/>
          <w:szCs w:val="32"/>
        </w:rPr>
        <w:t>法规</w:t>
      </w:r>
      <w:r>
        <w:rPr>
          <w:rFonts w:hint="eastAsia" w:ascii="Times New Roman" w:hAnsi="Times New Roman" w:eastAsia="楷体_GB2312"/>
          <w:snapToGrid w:val="0"/>
          <w:sz w:val="32"/>
          <w:szCs w:val="32"/>
        </w:rPr>
        <w:t>科</w:t>
      </w:r>
      <w:r>
        <w:rPr>
          <w:rFonts w:ascii="Times New Roman" w:hAnsi="Times New Roman" w:eastAsia="楷体_GB2312"/>
          <w:snapToGrid w:val="0"/>
          <w:sz w:val="32"/>
          <w:szCs w:val="32"/>
        </w:rPr>
        <w:t>、</w:t>
      </w:r>
      <w:r>
        <w:rPr>
          <w:rFonts w:hint="eastAsia" w:ascii="Times New Roman" w:hAnsi="Times New Roman" w:eastAsia="楷体_GB2312"/>
          <w:snapToGrid w:val="0"/>
          <w:sz w:val="32"/>
          <w:szCs w:val="32"/>
        </w:rPr>
        <w:t>执法支队、局</w:t>
      </w:r>
      <w:r>
        <w:rPr>
          <w:rFonts w:ascii="Times New Roman" w:hAnsi="Times New Roman" w:eastAsia="楷体_GB2312"/>
          <w:snapToGrid w:val="0"/>
          <w:sz w:val="32"/>
          <w:szCs w:val="32"/>
        </w:rPr>
        <w:t>属相关单位）</w:t>
      </w:r>
    </w:p>
    <w:p>
      <w:pPr>
        <w:adjustRightInd w:val="0"/>
        <w:snapToGrid w:val="0"/>
        <w:spacing w:line="600" w:lineRule="exact"/>
        <w:ind w:firstLine="640" w:firstLineChars="200"/>
        <w:rPr>
          <w:rFonts w:eastAsia="仿宋_GB2312"/>
          <w:kern w:val="0"/>
          <w:sz w:val="32"/>
          <w:szCs w:val="32"/>
        </w:rPr>
      </w:pPr>
      <w:r>
        <w:rPr>
          <w:rFonts w:eastAsia="楷体_GB2312"/>
          <w:kern w:val="0"/>
          <w:sz w:val="32"/>
          <w:szCs w:val="32"/>
        </w:rPr>
        <w:t>4．加大农业执法办案力度。</w:t>
      </w:r>
      <w:r>
        <w:rPr>
          <w:rFonts w:eastAsia="仿宋_GB2312"/>
          <w:kern w:val="0"/>
          <w:sz w:val="32"/>
          <w:szCs w:val="32"/>
        </w:rPr>
        <w:t>牢固树立“执法为民、服务三农”理念，抓住农业生产关键时节，以种子、农药、肥料、兽药、饲料和饲料添加剂为重点，开展农资打假行动，推进农产品质量安全领域专项整治。</w:t>
      </w:r>
      <w:r>
        <w:rPr>
          <w:rFonts w:hint="eastAsia" w:eastAsia="仿宋_GB2312"/>
          <w:kern w:val="0"/>
          <w:sz w:val="32"/>
          <w:szCs w:val="32"/>
        </w:rPr>
        <w:t>开展</w:t>
      </w:r>
      <w:r>
        <w:rPr>
          <w:rFonts w:eastAsia="仿宋_GB2312"/>
          <w:kern w:val="0"/>
          <w:sz w:val="32"/>
          <w:szCs w:val="32"/>
        </w:rPr>
        <w:t>生猪屠宰行业“扫雷行动”、 “渔政亮剑”系列专项执法行动，开展畜禽屠宰和渔业捕捞领域专项整治，建立部门间、区域间线索通报、案件协办、执法联动、定期会商机制，加强农业行政执法与刑事司法衔接，严厉打击农业农村领域违法犯罪行为。积极调处农村土地承包、宅基地、集体资产管理纠纷，依法化解矛盾，维护农民群众合法权益。（</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w:t>
      </w:r>
      <w:r>
        <w:rPr>
          <w:rFonts w:hint="eastAsia" w:eastAsia="楷体_GB2312"/>
          <w:kern w:val="0"/>
          <w:sz w:val="32"/>
          <w:szCs w:val="32"/>
        </w:rPr>
        <w:t>执法支队、经管科、局</w:t>
      </w:r>
      <w:r>
        <w:rPr>
          <w:rFonts w:eastAsia="楷体_GB2312"/>
          <w:kern w:val="0"/>
          <w:sz w:val="32"/>
          <w:szCs w:val="32"/>
        </w:rPr>
        <w:t>属相关单位）</w:t>
      </w:r>
    </w:p>
    <w:p>
      <w:pPr>
        <w:adjustRightInd w:val="0"/>
        <w:snapToGrid w:val="0"/>
        <w:spacing w:line="600" w:lineRule="exact"/>
        <w:ind w:firstLine="640" w:firstLineChars="200"/>
        <w:rPr>
          <w:rFonts w:eastAsia="黑体"/>
          <w:kern w:val="0"/>
          <w:sz w:val="32"/>
          <w:szCs w:val="32"/>
        </w:rPr>
      </w:pPr>
      <w:r>
        <w:rPr>
          <w:rFonts w:eastAsia="黑体"/>
          <w:kern w:val="0"/>
          <w:sz w:val="32"/>
          <w:szCs w:val="32"/>
        </w:rPr>
        <w:t>三、建立农业普法宣传常态化机制</w:t>
      </w:r>
    </w:p>
    <w:p>
      <w:pPr>
        <w:pStyle w:val="7"/>
        <w:widowControl w:val="0"/>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微软雅黑"/>
          <w:snapToGrid w:val="0"/>
          <w:sz w:val="32"/>
          <w:szCs w:val="32"/>
        </w:rPr>
      </w:pPr>
      <w:r>
        <w:rPr>
          <w:rFonts w:ascii="Times New Roman" w:hAnsi="Times New Roman" w:eastAsia="楷体_GB2312"/>
          <w:snapToGrid w:val="0"/>
          <w:sz w:val="32"/>
          <w:szCs w:val="32"/>
        </w:rPr>
        <w:t>1．全面落实普法责任。</w:t>
      </w:r>
      <w:r>
        <w:rPr>
          <w:rFonts w:ascii="Times New Roman" w:hAnsi="Times New Roman" w:eastAsia="仿宋_GB2312"/>
          <w:snapToGrid w:val="0"/>
          <w:sz w:val="32"/>
          <w:szCs w:val="32"/>
        </w:rPr>
        <w:t>围绕全面落实“谁执法谁普法”普法责任制，组织制定农业农村普法责任清单，明确年度普法计划，细化分解普法任务，将普法工作融入农业行业管理、执法监管和公共服务全过程，形成分工负责、各司其职、上下联动的农业农村“大普法”格局，推进普法宣传常态化。建立重点涉农法律法规宣传解读机制，及时对新制定或修订的涉农法律法规进行解疑释惑，回应社会关切，促进法律法规有效实施。</w:t>
      </w:r>
      <w:r>
        <w:rPr>
          <w:rFonts w:ascii="Times New Roman" w:hAnsi="Times New Roman" w:eastAsia="仿宋_GB2312"/>
          <w:bCs/>
          <w:snapToGrid w:val="0"/>
          <w:sz w:val="32"/>
          <w:szCs w:val="32"/>
        </w:rPr>
        <w:t>（</w:t>
      </w:r>
      <w:r>
        <w:rPr>
          <w:rFonts w:ascii="Times New Roman" w:hAnsi="Times New Roman" w:eastAsia="楷体_GB2312"/>
          <w:snapToGrid w:val="0"/>
          <w:sz w:val="32"/>
          <w:szCs w:val="32"/>
        </w:rPr>
        <w:t>责任单位：</w:t>
      </w:r>
      <w:r>
        <w:rPr>
          <w:rFonts w:hint="eastAsia" w:eastAsia="楷体_GB2312"/>
          <w:sz w:val="32"/>
          <w:szCs w:val="32"/>
        </w:rPr>
        <w:t>局</w:t>
      </w:r>
      <w:r>
        <w:rPr>
          <w:rFonts w:eastAsia="楷体_GB2312"/>
          <w:sz w:val="32"/>
          <w:szCs w:val="32"/>
        </w:rPr>
        <w:t>法规</w:t>
      </w:r>
      <w:r>
        <w:rPr>
          <w:rFonts w:hint="eastAsia" w:eastAsia="楷体_GB2312"/>
          <w:sz w:val="32"/>
          <w:szCs w:val="32"/>
        </w:rPr>
        <w:t>科</w:t>
      </w:r>
      <w:r>
        <w:rPr>
          <w:rFonts w:eastAsia="楷体_GB2312"/>
          <w:sz w:val="32"/>
          <w:szCs w:val="32"/>
        </w:rPr>
        <w:t>、</w:t>
      </w:r>
      <w:r>
        <w:rPr>
          <w:rFonts w:hint="eastAsia" w:eastAsia="楷体_GB2312"/>
          <w:sz w:val="32"/>
          <w:szCs w:val="32"/>
        </w:rPr>
        <w:t>执法支队、局</w:t>
      </w:r>
      <w:r>
        <w:rPr>
          <w:rFonts w:eastAsia="楷体_GB2312"/>
          <w:sz w:val="32"/>
          <w:szCs w:val="32"/>
        </w:rPr>
        <w:t>属相关单位</w:t>
      </w:r>
      <w:r>
        <w:rPr>
          <w:rFonts w:ascii="Times New Roman" w:hAnsi="Times New Roman" w:eastAsia="楷体_GB2312"/>
          <w:snapToGrid w:val="0"/>
          <w:sz w:val="32"/>
          <w:szCs w:val="32"/>
        </w:rPr>
        <w:t>）</w:t>
      </w:r>
    </w:p>
    <w:p>
      <w:pPr>
        <w:adjustRightInd w:val="0"/>
        <w:snapToGrid w:val="0"/>
        <w:spacing w:line="600" w:lineRule="exact"/>
        <w:ind w:firstLine="640" w:firstLineChars="200"/>
        <w:rPr>
          <w:rFonts w:eastAsia="仿宋_GB2312"/>
          <w:kern w:val="0"/>
          <w:sz w:val="32"/>
          <w:szCs w:val="32"/>
        </w:rPr>
      </w:pPr>
      <w:r>
        <w:rPr>
          <w:rStyle w:val="22"/>
          <w:rFonts w:eastAsia="楷体_GB2312"/>
          <w:kern w:val="0"/>
          <w:sz w:val="32"/>
          <w:szCs w:val="32"/>
        </w:rPr>
        <w:t>2．开展专项普法宣传。</w:t>
      </w:r>
      <w:r>
        <w:rPr>
          <w:rStyle w:val="22"/>
          <w:rFonts w:eastAsia="仿宋_GB2312"/>
          <w:kern w:val="0"/>
          <w:sz w:val="32"/>
          <w:szCs w:val="32"/>
        </w:rPr>
        <w:t>根据新冠肺炎防控需要，按照国家和省</w:t>
      </w:r>
      <w:r>
        <w:rPr>
          <w:rStyle w:val="22"/>
          <w:rFonts w:hint="eastAsia" w:eastAsia="仿宋_GB2312"/>
          <w:kern w:val="0"/>
          <w:sz w:val="32"/>
          <w:szCs w:val="32"/>
        </w:rPr>
        <w:t>市</w:t>
      </w:r>
      <w:r>
        <w:rPr>
          <w:rStyle w:val="22"/>
          <w:rFonts w:eastAsia="仿宋_GB2312"/>
          <w:kern w:val="0"/>
          <w:sz w:val="32"/>
          <w:szCs w:val="32"/>
        </w:rPr>
        <w:t>关于开展</w:t>
      </w:r>
      <w:r>
        <w:rPr>
          <w:rFonts w:eastAsia="仿宋_GB2312"/>
          <w:kern w:val="0"/>
          <w:sz w:val="32"/>
          <w:szCs w:val="32"/>
        </w:rPr>
        <w:t>“防控疫情、法治同行”专项法治宣传行动的要求，</w:t>
      </w:r>
      <w:r>
        <w:rPr>
          <w:rStyle w:val="22"/>
          <w:rFonts w:eastAsia="仿宋_GB2312"/>
          <w:kern w:val="0"/>
          <w:sz w:val="32"/>
          <w:szCs w:val="32"/>
        </w:rPr>
        <w:t>组织开展动物防疫法及我省实施办法和野生水生动物保护法律法规的专题宣传</w:t>
      </w:r>
      <w:r>
        <w:rPr>
          <w:rFonts w:eastAsia="仿宋_GB2312"/>
          <w:kern w:val="0"/>
          <w:sz w:val="32"/>
          <w:szCs w:val="32"/>
        </w:rPr>
        <w:t>，为做好农业农村领域疫情防控工作提供法治保障。以“农资下乡”、“农民丰收节”为载体，组织开展农业法、农产品质量安全法等法律法规专项宣传活动，增强广大农民的法治意识，</w:t>
      </w:r>
      <w:r>
        <w:rPr>
          <w:rStyle w:val="22"/>
          <w:rFonts w:eastAsia="仿宋_GB2312"/>
          <w:kern w:val="0"/>
          <w:sz w:val="32"/>
          <w:szCs w:val="32"/>
        </w:rPr>
        <w:t>提升农业农村依法治理水平</w:t>
      </w:r>
      <w:r>
        <w:rPr>
          <w:rFonts w:eastAsia="仿宋_GB2312"/>
          <w:kern w:val="0"/>
          <w:sz w:val="32"/>
          <w:szCs w:val="32"/>
        </w:rPr>
        <w:t>。（</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w:t>
      </w:r>
      <w:r>
        <w:rPr>
          <w:rFonts w:hint="eastAsia" w:eastAsia="楷体_GB2312"/>
          <w:kern w:val="0"/>
          <w:sz w:val="32"/>
          <w:szCs w:val="32"/>
        </w:rPr>
        <w:t>执法支队、局</w:t>
      </w:r>
      <w:r>
        <w:rPr>
          <w:rFonts w:eastAsia="楷体_GB2312"/>
          <w:kern w:val="0"/>
          <w:sz w:val="32"/>
          <w:szCs w:val="32"/>
        </w:rPr>
        <w:t>属相关单位</w:t>
      </w:r>
      <w:r>
        <w:rPr>
          <w:rFonts w:eastAsia="仿宋_GB2312"/>
          <w:kern w:val="0"/>
          <w:sz w:val="32"/>
          <w:szCs w:val="32"/>
        </w:rPr>
        <w:t>）</w:t>
      </w:r>
    </w:p>
    <w:p>
      <w:pPr>
        <w:pStyle w:val="7"/>
        <w:widowControl w:val="0"/>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楷体_GB2312"/>
          <w:snapToGrid w:val="0"/>
          <w:sz w:val="32"/>
          <w:szCs w:val="32"/>
        </w:rPr>
      </w:pPr>
      <w:r>
        <w:rPr>
          <w:rFonts w:ascii="Times New Roman" w:hAnsi="Times New Roman" w:eastAsia="楷体_GB2312"/>
          <w:snapToGrid w:val="0"/>
          <w:sz w:val="32"/>
          <w:szCs w:val="32"/>
        </w:rPr>
        <w:t>3．推动普法向基层延伸。</w:t>
      </w:r>
      <w:r>
        <w:rPr>
          <w:rFonts w:ascii="Times New Roman" w:hAnsi="Times New Roman" w:eastAsia="仿宋_GB2312"/>
          <w:snapToGrid w:val="0"/>
          <w:sz w:val="32"/>
          <w:szCs w:val="32"/>
        </w:rPr>
        <w:t>按照国家和省</w:t>
      </w:r>
      <w:r>
        <w:rPr>
          <w:rFonts w:hint="eastAsia" w:ascii="Times New Roman" w:hAnsi="Times New Roman" w:eastAsia="仿宋_GB2312"/>
          <w:snapToGrid w:val="0"/>
          <w:sz w:val="32"/>
          <w:szCs w:val="32"/>
        </w:rPr>
        <w:t>市</w:t>
      </w:r>
      <w:r>
        <w:rPr>
          <w:rFonts w:ascii="Times New Roman" w:hAnsi="Times New Roman" w:eastAsia="仿宋_GB2312"/>
          <w:snapToGrid w:val="0"/>
          <w:sz w:val="32"/>
          <w:szCs w:val="32"/>
        </w:rPr>
        <w:t>普法办部署安排，切实推动宪法和涉农法律法规进农村。创新普法方式，利用</w:t>
      </w:r>
      <w:r>
        <w:rPr>
          <w:rStyle w:val="22"/>
          <w:rFonts w:ascii="Times New Roman" w:hAnsi="Times New Roman" w:eastAsia="仿宋_GB2312"/>
          <w:snapToGrid w:val="0"/>
          <w:sz w:val="32"/>
          <w:szCs w:val="32"/>
        </w:rPr>
        <w:t>新媒体、新平台、微视频、动漫、法治征文等方式，深入开展“乡村振兴与普法守法”宣传教育活动。指导各地结合农时农情，面向</w:t>
      </w:r>
      <w:r>
        <w:rPr>
          <w:rFonts w:ascii="Times New Roman" w:hAnsi="Times New Roman" w:eastAsia="仿宋_GB2312"/>
          <w:snapToGrid w:val="0"/>
          <w:sz w:val="32"/>
          <w:szCs w:val="32"/>
        </w:rPr>
        <w:t>农民专业合作社、家庭农场、</w:t>
      </w:r>
      <w:r>
        <w:rPr>
          <w:rFonts w:hint="eastAsia" w:ascii="Times New Roman" w:hAnsi="Times New Roman" w:eastAsia="仿宋_GB2312"/>
          <w:snapToGrid w:val="0"/>
          <w:sz w:val="32"/>
          <w:szCs w:val="32"/>
        </w:rPr>
        <w:t>龙头</w:t>
      </w:r>
      <w:r>
        <w:rPr>
          <w:rFonts w:ascii="Times New Roman" w:hAnsi="Times New Roman" w:eastAsia="仿宋_GB2312"/>
          <w:snapToGrid w:val="0"/>
          <w:sz w:val="32"/>
          <w:szCs w:val="32"/>
        </w:rPr>
        <w:t>企业、种养大户开展特色普法和培训活动，增强法治宣传的针对性和实效性。（</w:t>
      </w:r>
      <w:r>
        <w:rPr>
          <w:rFonts w:ascii="Times New Roman" w:hAnsi="Times New Roman" w:eastAsia="楷体_GB2312"/>
          <w:snapToGrid w:val="0"/>
          <w:sz w:val="32"/>
          <w:szCs w:val="32"/>
        </w:rPr>
        <w:t>责任单位：</w:t>
      </w:r>
      <w:r>
        <w:rPr>
          <w:rFonts w:hint="eastAsia" w:eastAsia="楷体_GB2312"/>
          <w:sz w:val="32"/>
          <w:szCs w:val="32"/>
        </w:rPr>
        <w:t>局</w:t>
      </w:r>
      <w:r>
        <w:rPr>
          <w:rFonts w:eastAsia="楷体_GB2312"/>
          <w:sz w:val="32"/>
          <w:szCs w:val="32"/>
        </w:rPr>
        <w:t>法规</w:t>
      </w:r>
      <w:r>
        <w:rPr>
          <w:rFonts w:hint="eastAsia" w:eastAsia="楷体_GB2312"/>
          <w:sz w:val="32"/>
          <w:szCs w:val="32"/>
        </w:rPr>
        <w:t>科</w:t>
      </w:r>
      <w:r>
        <w:rPr>
          <w:rFonts w:eastAsia="楷体_GB2312"/>
          <w:sz w:val="32"/>
          <w:szCs w:val="32"/>
        </w:rPr>
        <w:t>、</w:t>
      </w:r>
      <w:r>
        <w:rPr>
          <w:rFonts w:hint="eastAsia" w:eastAsia="楷体_GB2312"/>
          <w:sz w:val="32"/>
          <w:szCs w:val="32"/>
        </w:rPr>
        <w:t>执法支队、局</w:t>
      </w:r>
      <w:r>
        <w:rPr>
          <w:rFonts w:eastAsia="楷体_GB2312"/>
          <w:sz w:val="32"/>
          <w:szCs w:val="32"/>
        </w:rPr>
        <w:t>属相关单位</w:t>
      </w:r>
      <w:r>
        <w:rPr>
          <w:rFonts w:ascii="Times New Roman" w:hAnsi="Times New Roman" w:eastAsia="楷体_GB2312"/>
          <w:snapToGrid w:val="0"/>
          <w:sz w:val="32"/>
          <w:szCs w:val="32"/>
        </w:rPr>
        <w:t>）</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4．推动普法宣传进机关。</w:t>
      </w:r>
      <w:r>
        <w:rPr>
          <w:rFonts w:eastAsia="仿宋_GB2312"/>
          <w:kern w:val="0"/>
          <w:sz w:val="32"/>
          <w:szCs w:val="32"/>
        </w:rPr>
        <w:t>健立完善农业农村系统领导干部学法清单，认真落实党组理论学习中心组学法用法制度和公务员集中学法制度，利用法治专题讲座、培训、法律知识测试等多种形式，深入学习习近平总书记全面依法治国新理念新思想新战略和党的十九届四中全会精神，加强宪法和法</w:t>
      </w:r>
      <w:r>
        <w:rPr>
          <w:rFonts w:hint="eastAsia" w:eastAsia="仿宋_GB2312"/>
          <w:kern w:val="0"/>
          <w:sz w:val="32"/>
          <w:szCs w:val="32"/>
        </w:rPr>
        <w:t>治</w:t>
      </w:r>
      <w:r>
        <w:rPr>
          <w:rFonts w:eastAsia="仿宋_GB2312"/>
          <w:kern w:val="0"/>
          <w:sz w:val="32"/>
          <w:szCs w:val="32"/>
        </w:rPr>
        <w:t>宣传教育，引导农业农村系统工作人员做尊法学法守法用法的模范，全面提升法治思维和依法行政水平。组织开展农业农村普法专题调研，做好“七五”普法收官评估和验收准备工作。（</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机关党委、办公室、人事</w:t>
      </w:r>
      <w:r>
        <w:rPr>
          <w:rFonts w:hint="eastAsia" w:eastAsia="楷体_GB2312"/>
          <w:kern w:val="0"/>
          <w:sz w:val="32"/>
          <w:szCs w:val="32"/>
        </w:rPr>
        <w:t>科</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w:t>
      </w:r>
      <w:r>
        <w:rPr>
          <w:rFonts w:hint="eastAsia" w:eastAsia="楷体_GB2312"/>
          <w:kern w:val="0"/>
          <w:sz w:val="32"/>
          <w:szCs w:val="32"/>
        </w:rPr>
        <w:t>局</w:t>
      </w:r>
      <w:r>
        <w:rPr>
          <w:rFonts w:eastAsia="楷体_GB2312"/>
          <w:kern w:val="0"/>
          <w:sz w:val="32"/>
          <w:szCs w:val="32"/>
        </w:rPr>
        <w:t>属各单位）</w:t>
      </w:r>
    </w:p>
    <w:p>
      <w:pPr>
        <w:adjustRightInd w:val="0"/>
        <w:snapToGrid w:val="0"/>
        <w:spacing w:line="600" w:lineRule="exact"/>
        <w:ind w:firstLine="640" w:firstLineChars="200"/>
        <w:rPr>
          <w:rFonts w:eastAsia="黑体"/>
          <w:kern w:val="0"/>
          <w:sz w:val="32"/>
          <w:szCs w:val="32"/>
        </w:rPr>
      </w:pPr>
      <w:r>
        <w:rPr>
          <w:rFonts w:eastAsia="黑体"/>
          <w:kern w:val="0"/>
          <w:sz w:val="32"/>
          <w:szCs w:val="32"/>
        </w:rPr>
        <w:t>四、完善农业依法行政制度规范</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1．健全合法性审核机制。</w:t>
      </w:r>
      <w:r>
        <w:rPr>
          <w:rFonts w:eastAsia="仿宋_GB2312"/>
          <w:kern w:val="0"/>
          <w:sz w:val="32"/>
          <w:szCs w:val="32"/>
        </w:rPr>
        <w:t>贯彻执行《重大行政决策程序暂行规定》，进一步</w:t>
      </w:r>
      <w:r>
        <w:rPr>
          <w:rFonts w:hint="eastAsia" w:eastAsia="仿宋_GB2312"/>
          <w:kern w:val="0"/>
          <w:sz w:val="32"/>
          <w:szCs w:val="32"/>
        </w:rPr>
        <w:t>落实</w:t>
      </w:r>
      <w:r>
        <w:rPr>
          <w:rFonts w:eastAsia="仿宋_GB2312"/>
          <w:kern w:val="0"/>
          <w:sz w:val="32"/>
          <w:szCs w:val="32"/>
        </w:rPr>
        <w:t>重大决策事项合法性审查，全面推行政府顾问制度和公职律师制度，健全完善依法决策机制，对重大事项做到应审尽审，确保农业行政决策符合科学化、民主化、法治化要求。实行规范性文件提前介入机制，加强审查把关，落实备案制度，确保规范性文件合法有效。（</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w:t>
      </w:r>
      <w:r>
        <w:rPr>
          <w:rFonts w:hint="eastAsia" w:eastAsia="楷体_GB2312"/>
          <w:kern w:val="0"/>
          <w:sz w:val="32"/>
          <w:szCs w:val="32"/>
        </w:rPr>
        <w:t>执法支队、局</w:t>
      </w:r>
      <w:r>
        <w:rPr>
          <w:rFonts w:eastAsia="楷体_GB2312"/>
          <w:kern w:val="0"/>
          <w:sz w:val="32"/>
          <w:szCs w:val="32"/>
        </w:rPr>
        <w:t>属相关单位）</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2．强化公平竞争审查。</w:t>
      </w:r>
      <w:r>
        <w:rPr>
          <w:rFonts w:eastAsia="仿宋_GB2312"/>
          <w:kern w:val="0"/>
          <w:sz w:val="32"/>
          <w:szCs w:val="32"/>
        </w:rPr>
        <w:t>进一步规范公平竞争审查流程，完善合法性审查和公平竞争审查衔接机制，在制定涉及市场主体活动的政策措施过程中，严格落实承办单位自我把关、法制工作机构审查的要求，确保公平竞争审查制度落到实处，切实提高审查质量和效果。（</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w:t>
      </w:r>
      <w:r>
        <w:rPr>
          <w:rFonts w:hint="eastAsia" w:eastAsia="楷体_GB2312"/>
          <w:kern w:val="0"/>
          <w:sz w:val="32"/>
          <w:szCs w:val="32"/>
        </w:rPr>
        <w:t>局</w:t>
      </w:r>
      <w:r>
        <w:rPr>
          <w:rFonts w:eastAsia="楷体_GB2312"/>
          <w:kern w:val="0"/>
          <w:sz w:val="32"/>
          <w:szCs w:val="32"/>
        </w:rPr>
        <w:t>属相关单位）</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3．深化行政审批改革。</w:t>
      </w:r>
      <w:r>
        <w:rPr>
          <w:rFonts w:eastAsia="仿宋_GB2312"/>
          <w:kern w:val="0"/>
          <w:sz w:val="32"/>
          <w:szCs w:val="32"/>
        </w:rPr>
        <w:t>认真落实</w:t>
      </w:r>
      <w:r>
        <w:rPr>
          <w:rFonts w:hint="eastAsia" w:eastAsia="仿宋_GB2312"/>
          <w:kern w:val="0"/>
          <w:sz w:val="32"/>
          <w:szCs w:val="32"/>
        </w:rPr>
        <w:t>上级</w:t>
      </w:r>
      <w:r>
        <w:rPr>
          <w:rFonts w:eastAsia="仿宋_GB2312"/>
          <w:kern w:val="0"/>
          <w:sz w:val="32"/>
          <w:szCs w:val="32"/>
        </w:rPr>
        <w:t>农业农村部</w:t>
      </w:r>
      <w:r>
        <w:rPr>
          <w:rFonts w:hint="eastAsia" w:eastAsia="仿宋_GB2312"/>
          <w:kern w:val="0"/>
          <w:sz w:val="32"/>
          <w:szCs w:val="32"/>
        </w:rPr>
        <w:t>门</w:t>
      </w:r>
      <w:r>
        <w:rPr>
          <w:rFonts w:eastAsia="仿宋_GB2312"/>
          <w:kern w:val="0"/>
          <w:sz w:val="32"/>
          <w:szCs w:val="32"/>
        </w:rPr>
        <w:t>和</w:t>
      </w:r>
      <w:r>
        <w:rPr>
          <w:rFonts w:hint="eastAsia" w:eastAsia="仿宋_GB2312"/>
          <w:kern w:val="0"/>
          <w:sz w:val="32"/>
          <w:szCs w:val="32"/>
        </w:rPr>
        <w:t>市</w:t>
      </w:r>
      <w:r>
        <w:rPr>
          <w:rFonts w:eastAsia="仿宋_GB2312"/>
          <w:kern w:val="0"/>
          <w:sz w:val="32"/>
          <w:szCs w:val="32"/>
        </w:rPr>
        <w:t>政府深化“放管服”改革、优化营商环境部署要求，推动行政许可事项下放、优化整合，及时梳理公布农业行政许可事项清单，做好取消和下放事项的衔接落实工作，做到清单之外无许可。坚持“便民、高效、规范、廉洁”的原则，深化“一网、一门、一次”改革，精简行政许可申报材料，压缩办理时限，减少审批流程，修订许可办事指南，全面提升服务质量。加快农业政务服务“一网通办”系统建设，实现政务服务事项全程在线办理，推进农业行政审批服务高效便民。加强审批监督，落实好政务服务“好差评”制度。开展农业农村系统权责清单研究，进一步理清权责边界。（</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w:t>
      </w:r>
      <w:r>
        <w:rPr>
          <w:rFonts w:hint="eastAsia" w:eastAsia="楷体_GB2312"/>
          <w:kern w:val="0"/>
          <w:sz w:val="32"/>
          <w:szCs w:val="32"/>
        </w:rPr>
        <w:t>执法支队、局</w:t>
      </w:r>
      <w:r>
        <w:rPr>
          <w:rFonts w:eastAsia="楷体_GB2312"/>
          <w:kern w:val="0"/>
          <w:sz w:val="32"/>
          <w:szCs w:val="32"/>
        </w:rPr>
        <w:t>属相关单位）</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4．加强“双随机、一公开”监管。</w:t>
      </w:r>
      <w:r>
        <w:rPr>
          <w:rFonts w:hint="eastAsia" w:ascii="仿宋" w:hAnsi="仿宋" w:eastAsia="仿宋" w:cs="仿宋"/>
          <w:kern w:val="0"/>
          <w:sz w:val="32"/>
          <w:szCs w:val="32"/>
        </w:rPr>
        <w:t>根据</w:t>
      </w:r>
      <w:r>
        <w:rPr>
          <w:rFonts w:eastAsia="仿宋_GB2312"/>
          <w:kern w:val="0"/>
          <w:sz w:val="32"/>
          <w:szCs w:val="32"/>
        </w:rPr>
        <w:t>权责清单动态调整情况，建立完善随机抽查事项清单、工作指引和执法监管细则，持续推进“随机抽检对象名录库、执法检查人员名录库”精细化建设，实行动态维护。统筹制定年度抽检计划，规范有效实施双随机抽查，确保抽检任务按时完成，抽检结果同步公开。积极推进部门“双随机”联合检查工作，切实提高农业农村部门事中事后监管水平。（</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w:t>
      </w:r>
      <w:r>
        <w:rPr>
          <w:rFonts w:hint="eastAsia" w:eastAsia="楷体_GB2312"/>
          <w:kern w:val="0"/>
          <w:sz w:val="32"/>
          <w:szCs w:val="32"/>
        </w:rPr>
        <w:t>执法支队、局</w:t>
      </w:r>
      <w:r>
        <w:rPr>
          <w:rFonts w:eastAsia="楷体_GB2312"/>
          <w:kern w:val="0"/>
          <w:sz w:val="32"/>
          <w:szCs w:val="32"/>
        </w:rPr>
        <w:t>属相关单位）</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5．规范行政复议应诉案件办理。</w:t>
      </w:r>
      <w:r>
        <w:rPr>
          <w:rFonts w:eastAsia="仿宋_GB2312"/>
          <w:kern w:val="0"/>
          <w:sz w:val="32"/>
          <w:szCs w:val="32"/>
        </w:rPr>
        <w:t>畅通行政复议渠道，依法审理和办结行政复议案件，加强对违法和不当行政行为的纠错力度，依法维护行政相对人合法权益。认真落实行政机关负责人出庭应诉制度，依法做好行政应诉工</w:t>
      </w:r>
      <w:r>
        <w:rPr>
          <w:rFonts w:hint="eastAsia" w:eastAsia="仿宋_GB2312"/>
          <w:kern w:val="0"/>
          <w:sz w:val="32"/>
          <w:szCs w:val="32"/>
        </w:rPr>
        <w:t>作</w:t>
      </w:r>
      <w:r>
        <w:rPr>
          <w:rFonts w:eastAsia="仿宋_GB2312"/>
          <w:kern w:val="0"/>
          <w:sz w:val="32"/>
          <w:szCs w:val="32"/>
        </w:rPr>
        <w:t>。（</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w:t>
      </w:r>
      <w:r>
        <w:rPr>
          <w:rFonts w:hint="eastAsia" w:eastAsia="楷体_GB2312"/>
          <w:kern w:val="0"/>
          <w:sz w:val="32"/>
          <w:szCs w:val="32"/>
        </w:rPr>
        <w:t>执法支队、局</w:t>
      </w:r>
      <w:r>
        <w:rPr>
          <w:rFonts w:eastAsia="楷体_GB2312"/>
          <w:kern w:val="0"/>
          <w:sz w:val="32"/>
          <w:szCs w:val="32"/>
        </w:rPr>
        <w:t>属相关单位）</w:t>
      </w:r>
    </w:p>
    <w:p>
      <w:pPr>
        <w:adjustRightInd w:val="0"/>
        <w:snapToGrid w:val="0"/>
        <w:spacing w:line="600" w:lineRule="exact"/>
        <w:ind w:firstLine="640" w:firstLineChars="200"/>
        <w:rPr>
          <w:rFonts w:eastAsia="黑体"/>
          <w:kern w:val="0"/>
          <w:sz w:val="32"/>
          <w:szCs w:val="32"/>
        </w:rPr>
      </w:pPr>
      <w:r>
        <w:rPr>
          <w:rFonts w:eastAsia="黑体"/>
          <w:kern w:val="0"/>
          <w:sz w:val="32"/>
          <w:szCs w:val="32"/>
        </w:rPr>
        <w:t>五、切实强化工作保障</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1．强化组织领导。</w:t>
      </w:r>
      <w:r>
        <w:rPr>
          <w:rFonts w:eastAsia="仿宋_GB2312"/>
          <w:kern w:val="0"/>
          <w:sz w:val="32"/>
          <w:szCs w:val="32"/>
        </w:rPr>
        <w:t>坚持党对农业农村法治工作的全面领导，增强“四个意识”，坚定“四个自信”，做到“两个维护”，认真落实党政主要负责人履行推进法治建设第一责任人职责，把农业农村法治建设纳入年度重要工作内容，摆上重要位置，明确责任分工，加大工作推动和督促检查力度，确保农业农村法治建设各项任务落到实处。（</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办公室、人事</w:t>
      </w:r>
      <w:r>
        <w:rPr>
          <w:rFonts w:hint="eastAsia" w:eastAsia="楷体_GB2312"/>
          <w:kern w:val="0"/>
          <w:sz w:val="32"/>
          <w:szCs w:val="32"/>
        </w:rPr>
        <w:t>科</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、机关党委）</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2．加强工作指导。</w:t>
      </w:r>
      <w:r>
        <w:rPr>
          <w:rFonts w:eastAsia="仿宋_GB2312"/>
          <w:kern w:val="0"/>
          <w:sz w:val="32"/>
          <w:szCs w:val="32"/>
        </w:rPr>
        <w:t>全面贯彻落实党中央、国务院和省</w:t>
      </w:r>
      <w:r>
        <w:rPr>
          <w:rFonts w:hint="eastAsia" w:eastAsia="仿宋_GB2312"/>
          <w:kern w:val="0"/>
          <w:sz w:val="32"/>
          <w:szCs w:val="32"/>
        </w:rPr>
        <w:t>市</w:t>
      </w:r>
      <w:r>
        <w:rPr>
          <w:rFonts w:eastAsia="仿宋_GB2312"/>
          <w:kern w:val="0"/>
          <w:sz w:val="32"/>
          <w:szCs w:val="32"/>
        </w:rPr>
        <w:t>关于法治政府建设的部署要求，坚持把农业法治工作与中心工作同部署、同推动，围绕实施乡村振兴战略，深入开展农业法治建设专题调研，提出推进农业法治建设的新思路、新举措，进一步完善工作推进措施，为推进农业农村高质量发展提供有力保障。（</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w:t>
      </w:r>
      <w:r>
        <w:rPr>
          <w:rFonts w:hint="eastAsia" w:eastAsia="楷体_GB2312"/>
          <w:kern w:val="0"/>
          <w:sz w:val="32"/>
          <w:szCs w:val="32"/>
        </w:rPr>
        <w:t>执法支队、局</w:t>
      </w:r>
      <w:r>
        <w:rPr>
          <w:rFonts w:eastAsia="楷体_GB2312"/>
          <w:kern w:val="0"/>
          <w:sz w:val="32"/>
          <w:szCs w:val="32"/>
        </w:rPr>
        <w:t>属相关单位）</w:t>
      </w:r>
    </w:p>
    <w:p>
      <w:pPr>
        <w:adjustRightInd w:val="0"/>
        <w:snapToGrid w:val="0"/>
        <w:spacing w:line="600" w:lineRule="exact"/>
        <w:ind w:firstLine="640" w:firstLineChars="200"/>
        <w:rPr>
          <w:rFonts w:eastAsia="楷体_GB2312"/>
          <w:kern w:val="0"/>
          <w:sz w:val="32"/>
          <w:szCs w:val="32"/>
        </w:rPr>
      </w:pPr>
      <w:r>
        <w:rPr>
          <w:rFonts w:eastAsia="楷体_GB2312"/>
          <w:kern w:val="0"/>
          <w:sz w:val="32"/>
          <w:szCs w:val="32"/>
        </w:rPr>
        <w:t>3．发挥考核作用。</w:t>
      </w:r>
      <w:r>
        <w:rPr>
          <w:rFonts w:hint="eastAsia" w:ascii="仿宋" w:hAnsi="仿宋" w:eastAsia="仿宋" w:cs="仿宋"/>
          <w:kern w:val="0"/>
          <w:sz w:val="32"/>
          <w:szCs w:val="32"/>
        </w:rPr>
        <w:t>坚持</w:t>
      </w:r>
      <w:r>
        <w:rPr>
          <w:rFonts w:eastAsia="仿宋_GB2312"/>
          <w:kern w:val="0"/>
          <w:sz w:val="32"/>
          <w:szCs w:val="32"/>
        </w:rPr>
        <w:t>把农业农村法治建设工作纳入农业农村部门年度工作目标考核，把农业法治建设重点任务列入对</w:t>
      </w:r>
      <w:r>
        <w:rPr>
          <w:rFonts w:hint="eastAsia" w:eastAsia="仿宋_GB2312"/>
          <w:kern w:val="0"/>
          <w:sz w:val="32"/>
          <w:szCs w:val="32"/>
        </w:rPr>
        <w:t>县区</w:t>
      </w:r>
      <w:r>
        <w:rPr>
          <w:rFonts w:eastAsia="仿宋_GB2312"/>
          <w:kern w:val="0"/>
          <w:sz w:val="32"/>
          <w:szCs w:val="32"/>
        </w:rPr>
        <w:t>农业农村部门年度绩效考核，健全考核指标体系，完善考核方法，强化考核结果运用，充分发挥考核的引领推动作用，努力推进农业农村法治建设再上新台阶。（</w:t>
      </w:r>
      <w:r>
        <w:rPr>
          <w:rFonts w:eastAsia="楷体_GB2312"/>
          <w:kern w:val="0"/>
          <w:sz w:val="32"/>
          <w:szCs w:val="32"/>
        </w:rPr>
        <w:t>责任单位：</w:t>
      </w:r>
      <w:r>
        <w:rPr>
          <w:rFonts w:hint="eastAsia" w:eastAsia="楷体_GB2312"/>
          <w:kern w:val="0"/>
          <w:sz w:val="32"/>
          <w:szCs w:val="32"/>
        </w:rPr>
        <w:t>局</w:t>
      </w:r>
      <w:r>
        <w:rPr>
          <w:rFonts w:eastAsia="楷体_GB2312"/>
          <w:kern w:val="0"/>
          <w:sz w:val="32"/>
          <w:szCs w:val="32"/>
        </w:rPr>
        <w:t>法规</w:t>
      </w:r>
      <w:r>
        <w:rPr>
          <w:rFonts w:hint="eastAsia" w:eastAsia="楷体_GB2312"/>
          <w:kern w:val="0"/>
          <w:sz w:val="32"/>
          <w:szCs w:val="32"/>
        </w:rPr>
        <w:t>科</w:t>
      </w:r>
      <w:r>
        <w:rPr>
          <w:rFonts w:eastAsia="楷体_GB2312"/>
          <w:kern w:val="0"/>
          <w:sz w:val="32"/>
          <w:szCs w:val="32"/>
        </w:rPr>
        <w:t>、办公室、人事</w:t>
      </w:r>
      <w:r>
        <w:rPr>
          <w:rFonts w:hint="eastAsia" w:eastAsia="楷体_GB2312"/>
          <w:kern w:val="0"/>
          <w:sz w:val="32"/>
          <w:szCs w:val="32"/>
        </w:rPr>
        <w:t>科</w:t>
      </w:r>
      <w:r>
        <w:rPr>
          <w:rFonts w:eastAsia="楷体_GB2312"/>
          <w:kern w:val="0"/>
          <w:sz w:val="32"/>
          <w:szCs w:val="32"/>
        </w:rPr>
        <w:t>）</w:t>
      </w:r>
    </w:p>
    <w:p>
      <w:pPr>
        <w:adjustRightInd w:val="0"/>
        <w:snapToGrid w:val="0"/>
        <w:spacing w:line="600" w:lineRule="exact"/>
        <w:ind w:firstLine="420" w:firstLineChars="200"/>
        <w:rPr>
          <w:rFonts w:eastAsia="方正小标宋简体"/>
          <w:szCs w:val="32"/>
        </w:rPr>
      </w:pPr>
    </w:p>
    <w:p>
      <w:pPr>
        <w:pStyle w:val="3"/>
        <w:spacing w:line="200" w:lineRule="exact"/>
        <w:ind w:left="760" w:leftChars="1" w:hanging="758" w:hangingChars="361"/>
        <w:rPr>
          <w:rFonts w:eastAsia="方正小标宋简体"/>
          <w:szCs w:val="32"/>
        </w:rPr>
      </w:pPr>
    </w:p>
    <w:p>
      <w:pPr>
        <w:pStyle w:val="3"/>
        <w:spacing w:line="200" w:lineRule="exact"/>
        <w:ind w:left="760" w:leftChars="1" w:hanging="758" w:hangingChars="361"/>
        <w:rPr>
          <w:rFonts w:eastAsia="方正小标宋简体"/>
          <w:szCs w:val="32"/>
        </w:rPr>
      </w:pPr>
    </w:p>
    <w:p>
      <w:pPr>
        <w:pStyle w:val="3"/>
        <w:spacing w:line="200" w:lineRule="exact"/>
        <w:ind w:left="760" w:leftChars="1" w:hanging="758" w:hangingChars="361"/>
        <w:rPr>
          <w:rFonts w:eastAsia="方正小标宋简体"/>
          <w:szCs w:val="32"/>
        </w:rPr>
      </w:pPr>
    </w:p>
    <w:p>
      <w:pPr>
        <w:pStyle w:val="3"/>
        <w:spacing w:line="200" w:lineRule="exact"/>
        <w:ind w:left="760" w:leftChars="1" w:hanging="758" w:hangingChars="361"/>
        <w:rPr>
          <w:rFonts w:eastAsia="方正小标宋简体"/>
          <w:szCs w:val="32"/>
        </w:rPr>
      </w:pPr>
    </w:p>
    <w:p/>
    <w:p>
      <w:pPr>
        <w:snapToGrid w:val="0"/>
        <w:spacing w:line="600" w:lineRule="exact"/>
        <w:ind w:left="1113" w:leftChars="150" w:right="210" w:rightChars="100" w:hanging="798" w:hangingChars="380"/>
        <w:jc w:val="left"/>
        <w:rPr>
          <w:rFonts w:eastAsia="仿宋_GB2312"/>
          <w:color w:val="000000"/>
          <w:sz w:val="28"/>
          <w:szCs w:val="28"/>
        </w:rPr>
      </w:pPr>
      <w: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48260</wp:posOffset>
                </wp:positionV>
                <wp:extent cx="5615940" cy="0"/>
                <wp:effectExtent l="0" t="0" r="0" b="0"/>
                <wp:wrapNone/>
                <wp:docPr id="9"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直接连接符 8" o:spid="_x0000_s1026" o:spt="20" style="position:absolute;left:0pt;margin-top:3.8pt;height:0pt;width:442.2pt;mso-position-horizontal:center;z-index:251676672;mso-width-relative:page;mso-height-relative:page;" filled="f" stroked="t" coordsize="21600,21600" o:gfxdata="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WijK1AAAAAQBAAAPAAAAAAAAAAEAIAAAACIAAABkcnMv&#10;ZG93bnJldi54bWxQSwECFAAUAAAACACHTuJAlndg084BAABrAwAADgAAAAAAAAABACAAAAAjAQAA&#10;ZHJzL2Uyb0RvYy54bWxQSwUGAAAAAAYABgBZAQAAYwUAAAAA&#10;">
                <v:fill on="f" focussize="0,0"/>
                <v:stroke weight="1pt" color="#000000" joinstyle="round"/>
                <v:imagedata o:title=""/>
                <o:lock v:ext="edit" aspectratio="f"/>
              </v:line>
            </w:pict>
          </mc:Fallback>
        </mc:AlternateContent>
      </w:r>
      <w:r>
        <w:rPr>
          <w:rFonts w:eastAsia="仿宋_GB2312"/>
          <w:color w:val="000000"/>
          <w:sz w:val="28"/>
          <w:szCs w:val="28"/>
        </w:rPr>
        <w:t>抄</w:t>
      </w:r>
      <w:r>
        <w:rPr>
          <w:rFonts w:hint="eastAsia" w:eastAsia="仿宋_GB2312"/>
          <w:color w:val="000000"/>
          <w:sz w:val="28"/>
          <w:szCs w:val="28"/>
        </w:rPr>
        <w:t>送</w:t>
      </w:r>
      <w:r>
        <w:rPr>
          <w:rFonts w:eastAsia="仿宋_GB2312"/>
          <w:color w:val="000000"/>
          <w:sz w:val="28"/>
          <w:szCs w:val="28"/>
        </w:rPr>
        <w:t>：</w:t>
      </w:r>
      <w:r>
        <w:rPr>
          <w:rFonts w:hint="eastAsia" w:eastAsia="仿宋_GB2312"/>
          <w:color w:val="000000"/>
          <w:sz w:val="28"/>
          <w:szCs w:val="28"/>
        </w:rPr>
        <w:t>省农业农村厅法规处，市司法局</w:t>
      </w:r>
      <w:r>
        <w:rPr>
          <w:rFonts w:eastAsia="仿宋_GB2312"/>
          <w:sz w:val="28"/>
          <w:szCs w:val="28"/>
        </w:rPr>
        <w:t>。</w:t>
      </w:r>
    </w:p>
    <w:p>
      <w:pPr>
        <w:tabs>
          <w:tab w:val="left" w:pos="8715"/>
        </w:tabs>
        <w:snapToGrid w:val="0"/>
        <w:spacing w:line="600" w:lineRule="exact"/>
        <w:ind w:left="1208" w:leftChars="150" w:right="168" w:rightChars="80" w:hanging="893" w:hangingChars="319"/>
        <w:rPr>
          <w:rFonts w:eastAsia="仿宋_GB2312"/>
          <w:color w:val="000000"/>
          <w:sz w:val="28"/>
          <w:szCs w:val="28"/>
        </w:rPr>
      </w:pPr>
      <w:r>
        <w:rPr>
          <w:rFonts w:ascii="仿宋" w:hAnsi="仿宋" w:eastAsia="仿宋" w:cs="仿宋"/>
          <w:sz w:val="28"/>
          <w:szCs w:val="28"/>
        </w:rPr>
        <mc:AlternateContent>
          <mc:Choice Requires="wps">
            <w:drawing>
              <wp:anchor distT="0" distB="0" distL="114300" distR="114300" simplePos="0" relativeHeight="251675648" behindDoc="0" locked="0" layoutInCell="1" allowOverlap="1">
                <wp:simplePos x="0" y="0"/>
                <wp:positionH relativeFrom="column">
                  <wp:align>center</wp:align>
                </wp:positionH>
                <wp:positionV relativeFrom="paragraph">
                  <wp:posOffset>60960</wp:posOffset>
                </wp:positionV>
                <wp:extent cx="5615940" cy="0"/>
                <wp:effectExtent l="0" t="0" r="0" b="0"/>
                <wp:wrapNone/>
                <wp:docPr id="8"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top:4.8pt;height:0pt;width:442.2pt;mso-position-horizontal:center;z-index:251675648;mso-width-relative:page;mso-height-relative:page;" filled="f" stroked="t" coordsize="21600,21600" o:gfxdata="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mRb9MAAAAEAQAADwAAAAAAAAABACAAAAAiAAAAZHJzL2Rv&#10;d25yZXYueG1sUEsBAhQAFAAAAAgAh07iQDz5WJLNAQAAagMAAA4AAAAAAAAAAQAgAAAAIgEAAGRy&#10;cy9lMm9Eb2MueG1sUEsFBgAAAAAGAAYAWQEAAGEFAAAAAA==&#10;">
                <v:fill on="f" focussize="0,0"/>
                <v:stroke color="#000000" joinstyle="round"/>
                <v:imagedata o:title=""/>
                <o:lock v:ext="edit" aspectratio="f"/>
              </v:line>
            </w:pict>
          </mc:Fallback>
        </mc:AlternateContent>
      </w:r>
      <w:r>
        <w:rPr>
          <w:rFonts w:hint="eastAsia" w:ascii="仿宋" w:hAnsi="仿宋" w:eastAsia="仿宋" w:cs="仿宋"/>
          <w:sz w:val="28"/>
          <w:szCs w:val="28"/>
        </w:rPr>
        <w:t>淮南市</w:t>
      </w:r>
      <w:r>
        <w:rPr>
          <w:rFonts w:eastAsia="仿宋_GB2312"/>
          <w:color w:val="000000"/>
          <w:sz w:val="28"/>
          <w:szCs w:val="28"/>
        </w:rPr>
        <w:t>农业</w:t>
      </w:r>
      <w:r>
        <w:rPr>
          <w:rFonts w:hint="eastAsia" w:eastAsia="仿宋_GB2312"/>
          <w:color w:val="000000"/>
          <w:sz w:val="28"/>
          <w:szCs w:val="28"/>
        </w:rPr>
        <w:t>农村局</w:t>
      </w:r>
      <w:r>
        <w:rPr>
          <w:rFonts w:eastAsia="仿宋_GB2312"/>
          <w:color w:val="000000"/>
          <w:sz w:val="28"/>
          <w:szCs w:val="28"/>
        </w:rPr>
        <w:t xml:space="preserve">                         20</w:t>
      </w:r>
      <w:r>
        <w:rPr>
          <w:rFonts w:hint="eastAsia" w:eastAsia="仿宋_GB2312"/>
          <w:color w:val="000000"/>
          <w:sz w:val="28"/>
          <w:szCs w:val="28"/>
        </w:rPr>
        <w:t>20</w:t>
      </w:r>
      <w:r>
        <w:rPr>
          <w:rFonts w:eastAsia="仿宋_GB2312"/>
          <w:color w:val="000000"/>
          <w:sz w:val="28"/>
          <w:szCs w:val="28"/>
        </w:rPr>
        <w:t>年</w:t>
      </w:r>
      <w:r>
        <w:rPr>
          <w:rFonts w:hint="eastAsia" w:eastAsia="仿宋_GB2312"/>
          <w:color w:val="000000"/>
          <w:sz w:val="28"/>
          <w:szCs w:val="28"/>
        </w:rPr>
        <w:t>4</w:t>
      </w:r>
      <w:r>
        <w:rPr>
          <w:rFonts w:eastAsia="仿宋_GB2312"/>
          <w:color w:val="000000"/>
          <w:sz w:val="28"/>
          <w:szCs w:val="28"/>
        </w:rPr>
        <w:t>月</w:t>
      </w:r>
      <w:r>
        <w:rPr>
          <w:rFonts w:hint="eastAsia" w:eastAsia="仿宋_GB2312"/>
          <w:color w:val="000000"/>
          <w:sz w:val="28"/>
          <w:szCs w:val="28"/>
        </w:rPr>
        <w:t>18</w:t>
      </w:r>
      <w:r>
        <w:rPr>
          <w:rFonts w:eastAsia="仿宋_GB2312"/>
          <w:color w:val="000000"/>
          <w:sz w:val="28"/>
          <w:szCs w:val="28"/>
        </w:rPr>
        <w:t>日印发</w:t>
      </w:r>
    </w:p>
    <w:p>
      <w:pPr>
        <w:tabs>
          <w:tab w:val="left" w:pos="8715"/>
        </w:tabs>
        <w:snapToGrid w:val="0"/>
        <w:spacing w:line="60" w:lineRule="exact"/>
        <w:ind w:left="984" w:leftChars="150" w:right="210" w:rightChars="100" w:hanging="669" w:hangingChars="319"/>
        <w:rPr>
          <w:rFonts w:eastAsia="方正小标宋简体"/>
          <w:sz w:val="44"/>
          <w:szCs w:val="44"/>
        </w:rPr>
      </w:pPr>
      <w:r>
        <mc:AlternateContent>
          <mc:Choice Requires="wps">
            <w:drawing>
              <wp:anchor distT="0" distB="0" distL="114300" distR="114300" simplePos="0" relativeHeight="251674624" behindDoc="0" locked="0" layoutInCell="1" allowOverlap="1">
                <wp:simplePos x="0" y="0"/>
                <wp:positionH relativeFrom="column">
                  <wp:align>center</wp:align>
                </wp:positionH>
                <wp:positionV relativeFrom="paragraph">
                  <wp:posOffset>36195</wp:posOffset>
                </wp:positionV>
                <wp:extent cx="5615940" cy="0"/>
                <wp:effectExtent l="0" t="0" r="0" b="0"/>
                <wp:wrapNone/>
                <wp:docPr id="7"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直接连接符 6" o:spid="_x0000_s1026" o:spt="20" style="position:absolute;left:0pt;margin-top:2.85pt;height:0pt;width:442.2pt;mso-position-horizontal:center;z-index:251674624;mso-width-relative:page;mso-height-relative:page;" filled="f" stroked="t" coordsize="21600,21600" o:gfxdata="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hQK6dQAAAAEAQAADwAAAAAAAAABACAAAAAiAAAAZHJz&#10;L2Rvd25yZXYueG1sUEsBAhQAFAAAAAgAh07iQG8TvnfPAQAAawMAAA4AAAAAAAAAAQAgAAAAIwEA&#10;AGRycy9lMm9Eb2MueG1sUEsFBgAAAAAGAAYAWQEAAGQFAAAAAA==&#10;">
                <v:fill on="f" focussize="0,0"/>
                <v:stroke weight="1pt" color="#000000" joinstyle="round"/>
                <v:imagedata o:title=""/>
                <o:lock v:ext="edit" aspectratio="f"/>
              </v:line>
            </w:pict>
          </mc:Fallback>
        </mc:AlternateContent>
      </w:r>
    </w:p>
    <w:sectPr>
      <w:footerReference r:id="rId5" w:type="first"/>
      <w:footerReference r:id="rId3" w:type="default"/>
      <w:footerReference r:id="rId4" w:type="even"/>
      <w:pgSz w:w="11906" w:h="16838"/>
      <w:pgMar w:top="1871" w:right="1531" w:bottom="1701"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4" w:wrap="around" w:vAnchor="text" w:hAnchor="margin" w:xAlign="outside" w:y="1"/>
      <w:jc w:val="center"/>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7</w:t>
    </w:r>
    <w:r>
      <w:rPr>
        <w:rStyle w:val="10"/>
        <w:rFonts w:ascii="宋体" w:hAnsi="宋体"/>
        <w:sz w:val="28"/>
        <w:szCs w:val="28"/>
      </w:rPr>
      <w:fldChar w:fldCharType="end"/>
    </w:r>
    <w:r>
      <w:rPr>
        <w:rStyle w:val="10"/>
        <w:rFonts w:hint="eastAsia" w:ascii="宋体" w:hAnsi="宋体"/>
        <w:sz w:val="28"/>
        <w:szCs w:val="28"/>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4" w:wrap="around" w:vAnchor="text" w:hAnchor="margin" w:xAlign="outside" w:y="1"/>
      <w:jc w:val="center"/>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8</w:t>
    </w:r>
    <w:r>
      <w:rPr>
        <w:rStyle w:val="10"/>
        <w:rFonts w:ascii="宋体" w:hAnsi="宋体"/>
        <w:sz w:val="28"/>
        <w:szCs w:val="28"/>
      </w:rPr>
      <w:fldChar w:fldCharType="end"/>
    </w:r>
    <w:r>
      <w:rPr>
        <w:rStyle w:val="10"/>
        <w:rFonts w:hint="eastAsia" w:ascii="宋体" w:hAnsi="宋体"/>
        <w:sz w:val="28"/>
        <w:szCs w:val="28"/>
      </w:rPr>
      <w:t xml:space="preserve"> —</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3"/>
    <w:rsid w:val="00006CD2"/>
    <w:rsid w:val="00010D2B"/>
    <w:rsid w:val="0001280D"/>
    <w:rsid w:val="0002439E"/>
    <w:rsid w:val="0003021D"/>
    <w:rsid w:val="0004580D"/>
    <w:rsid w:val="00046454"/>
    <w:rsid w:val="000500A9"/>
    <w:rsid w:val="00074F7E"/>
    <w:rsid w:val="000867D7"/>
    <w:rsid w:val="0009042E"/>
    <w:rsid w:val="00096B39"/>
    <w:rsid w:val="000A002B"/>
    <w:rsid w:val="000A2E91"/>
    <w:rsid w:val="000C25EF"/>
    <w:rsid w:val="000D2AE7"/>
    <w:rsid w:val="000D4A59"/>
    <w:rsid w:val="000E0527"/>
    <w:rsid w:val="000E06BB"/>
    <w:rsid w:val="000F08A4"/>
    <w:rsid w:val="000F61F3"/>
    <w:rsid w:val="000F7EC5"/>
    <w:rsid w:val="00111B4D"/>
    <w:rsid w:val="0012303B"/>
    <w:rsid w:val="00123B78"/>
    <w:rsid w:val="00132663"/>
    <w:rsid w:val="001520E0"/>
    <w:rsid w:val="0015278D"/>
    <w:rsid w:val="001578BC"/>
    <w:rsid w:val="00161D72"/>
    <w:rsid w:val="00174603"/>
    <w:rsid w:val="001749E6"/>
    <w:rsid w:val="0018054E"/>
    <w:rsid w:val="001837A3"/>
    <w:rsid w:val="00197BB1"/>
    <w:rsid w:val="001B26E2"/>
    <w:rsid w:val="001B376C"/>
    <w:rsid w:val="001B7BBA"/>
    <w:rsid w:val="001C5A1B"/>
    <w:rsid w:val="001C7D0E"/>
    <w:rsid w:val="001D79AA"/>
    <w:rsid w:val="001E39EB"/>
    <w:rsid w:val="001E7D69"/>
    <w:rsid w:val="0022031A"/>
    <w:rsid w:val="00221506"/>
    <w:rsid w:val="00232B12"/>
    <w:rsid w:val="00234EC1"/>
    <w:rsid w:val="00236F98"/>
    <w:rsid w:val="00237645"/>
    <w:rsid w:val="0024046E"/>
    <w:rsid w:val="00241CFD"/>
    <w:rsid w:val="00247276"/>
    <w:rsid w:val="002520CF"/>
    <w:rsid w:val="002631BC"/>
    <w:rsid w:val="002648CE"/>
    <w:rsid w:val="00264FDB"/>
    <w:rsid w:val="002709D1"/>
    <w:rsid w:val="00276D7D"/>
    <w:rsid w:val="0028535B"/>
    <w:rsid w:val="002858B6"/>
    <w:rsid w:val="002901F6"/>
    <w:rsid w:val="00292480"/>
    <w:rsid w:val="00294415"/>
    <w:rsid w:val="00297D49"/>
    <w:rsid w:val="002A0DCA"/>
    <w:rsid w:val="002A12D6"/>
    <w:rsid w:val="002A297A"/>
    <w:rsid w:val="002D3A2C"/>
    <w:rsid w:val="002D536F"/>
    <w:rsid w:val="002D76AA"/>
    <w:rsid w:val="002D7E9C"/>
    <w:rsid w:val="002E76EB"/>
    <w:rsid w:val="002F6505"/>
    <w:rsid w:val="00300A45"/>
    <w:rsid w:val="00303599"/>
    <w:rsid w:val="0030735B"/>
    <w:rsid w:val="003112DA"/>
    <w:rsid w:val="00313302"/>
    <w:rsid w:val="003141E9"/>
    <w:rsid w:val="00315888"/>
    <w:rsid w:val="0032040E"/>
    <w:rsid w:val="00346A7A"/>
    <w:rsid w:val="00365AD0"/>
    <w:rsid w:val="003730D8"/>
    <w:rsid w:val="00373E63"/>
    <w:rsid w:val="0037575C"/>
    <w:rsid w:val="00385035"/>
    <w:rsid w:val="003863CA"/>
    <w:rsid w:val="00393BB3"/>
    <w:rsid w:val="003A14C2"/>
    <w:rsid w:val="003B17C3"/>
    <w:rsid w:val="003B2716"/>
    <w:rsid w:val="003B7797"/>
    <w:rsid w:val="003C4B33"/>
    <w:rsid w:val="003C6A53"/>
    <w:rsid w:val="003E025B"/>
    <w:rsid w:val="003E1060"/>
    <w:rsid w:val="003E7A75"/>
    <w:rsid w:val="003F11BB"/>
    <w:rsid w:val="003F2D7D"/>
    <w:rsid w:val="00410D45"/>
    <w:rsid w:val="00414F37"/>
    <w:rsid w:val="00427D75"/>
    <w:rsid w:val="00430C96"/>
    <w:rsid w:val="00443590"/>
    <w:rsid w:val="00446633"/>
    <w:rsid w:val="00456EB2"/>
    <w:rsid w:val="0045755C"/>
    <w:rsid w:val="004607E5"/>
    <w:rsid w:val="004647E5"/>
    <w:rsid w:val="004652F8"/>
    <w:rsid w:val="00465895"/>
    <w:rsid w:val="0047138D"/>
    <w:rsid w:val="00477848"/>
    <w:rsid w:val="00483350"/>
    <w:rsid w:val="00494F1E"/>
    <w:rsid w:val="004C0025"/>
    <w:rsid w:val="004C0CBF"/>
    <w:rsid w:val="004C12F3"/>
    <w:rsid w:val="004D2677"/>
    <w:rsid w:val="004E2527"/>
    <w:rsid w:val="004E797D"/>
    <w:rsid w:val="004F4B16"/>
    <w:rsid w:val="004F63B3"/>
    <w:rsid w:val="005013CD"/>
    <w:rsid w:val="005015B2"/>
    <w:rsid w:val="00504869"/>
    <w:rsid w:val="00514D4B"/>
    <w:rsid w:val="005151C8"/>
    <w:rsid w:val="005162FA"/>
    <w:rsid w:val="005303DD"/>
    <w:rsid w:val="00531A37"/>
    <w:rsid w:val="00534258"/>
    <w:rsid w:val="00544222"/>
    <w:rsid w:val="005521D5"/>
    <w:rsid w:val="005606C7"/>
    <w:rsid w:val="00574284"/>
    <w:rsid w:val="0058028A"/>
    <w:rsid w:val="00580D7B"/>
    <w:rsid w:val="005844CE"/>
    <w:rsid w:val="00587875"/>
    <w:rsid w:val="005942FC"/>
    <w:rsid w:val="00595765"/>
    <w:rsid w:val="005A1B1E"/>
    <w:rsid w:val="005C3CC8"/>
    <w:rsid w:val="005D35BF"/>
    <w:rsid w:val="005D4107"/>
    <w:rsid w:val="005E1528"/>
    <w:rsid w:val="005E32C1"/>
    <w:rsid w:val="005E74F4"/>
    <w:rsid w:val="005F0C49"/>
    <w:rsid w:val="006014BA"/>
    <w:rsid w:val="006021E8"/>
    <w:rsid w:val="006075E0"/>
    <w:rsid w:val="006108ED"/>
    <w:rsid w:val="00620CF5"/>
    <w:rsid w:val="00622D49"/>
    <w:rsid w:val="0062481C"/>
    <w:rsid w:val="006277DE"/>
    <w:rsid w:val="00650FD3"/>
    <w:rsid w:val="00654491"/>
    <w:rsid w:val="00665535"/>
    <w:rsid w:val="0068008A"/>
    <w:rsid w:val="0068045A"/>
    <w:rsid w:val="00687EFD"/>
    <w:rsid w:val="00695CAE"/>
    <w:rsid w:val="006A1B99"/>
    <w:rsid w:val="006A66E1"/>
    <w:rsid w:val="006B269E"/>
    <w:rsid w:val="006B3010"/>
    <w:rsid w:val="006B5A51"/>
    <w:rsid w:val="006C05D1"/>
    <w:rsid w:val="006C2122"/>
    <w:rsid w:val="006C2709"/>
    <w:rsid w:val="006C6180"/>
    <w:rsid w:val="006D507D"/>
    <w:rsid w:val="006F3303"/>
    <w:rsid w:val="00700AD3"/>
    <w:rsid w:val="007018EC"/>
    <w:rsid w:val="007076D5"/>
    <w:rsid w:val="00710823"/>
    <w:rsid w:val="007147C3"/>
    <w:rsid w:val="00717DD3"/>
    <w:rsid w:val="007221A4"/>
    <w:rsid w:val="00735C88"/>
    <w:rsid w:val="00736948"/>
    <w:rsid w:val="00742190"/>
    <w:rsid w:val="00743210"/>
    <w:rsid w:val="0076391C"/>
    <w:rsid w:val="007643F5"/>
    <w:rsid w:val="007678CC"/>
    <w:rsid w:val="007715BB"/>
    <w:rsid w:val="00771AAC"/>
    <w:rsid w:val="00786431"/>
    <w:rsid w:val="0078778B"/>
    <w:rsid w:val="007A0155"/>
    <w:rsid w:val="007A255D"/>
    <w:rsid w:val="007E0D72"/>
    <w:rsid w:val="007E2F13"/>
    <w:rsid w:val="007E7967"/>
    <w:rsid w:val="007F2DC4"/>
    <w:rsid w:val="007F6208"/>
    <w:rsid w:val="008046D6"/>
    <w:rsid w:val="00811F46"/>
    <w:rsid w:val="00820C33"/>
    <w:rsid w:val="008244CE"/>
    <w:rsid w:val="00841A35"/>
    <w:rsid w:val="00841C40"/>
    <w:rsid w:val="00842BEA"/>
    <w:rsid w:val="00861912"/>
    <w:rsid w:val="00861C99"/>
    <w:rsid w:val="00862267"/>
    <w:rsid w:val="0086429B"/>
    <w:rsid w:val="00867143"/>
    <w:rsid w:val="0088076B"/>
    <w:rsid w:val="00886739"/>
    <w:rsid w:val="00892207"/>
    <w:rsid w:val="00893C07"/>
    <w:rsid w:val="008A036F"/>
    <w:rsid w:val="008A229C"/>
    <w:rsid w:val="008B5B43"/>
    <w:rsid w:val="008C1080"/>
    <w:rsid w:val="008D2C71"/>
    <w:rsid w:val="008D3A6B"/>
    <w:rsid w:val="008D7736"/>
    <w:rsid w:val="008E115D"/>
    <w:rsid w:val="008F67E4"/>
    <w:rsid w:val="00902502"/>
    <w:rsid w:val="009174EC"/>
    <w:rsid w:val="00923126"/>
    <w:rsid w:val="00926B95"/>
    <w:rsid w:val="00931F05"/>
    <w:rsid w:val="00933C59"/>
    <w:rsid w:val="00934A7F"/>
    <w:rsid w:val="009369D0"/>
    <w:rsid w:val="009428BC"/>
    <w:rsid w:val="009516CC"/>
    <w:rsid w:val="009623FD"/>
    <w:rsid w:val="00963353"/>
    <w:rsid w:val="00963DFC"/>
    <w:rsid w:val="009642CB"/>
    <w:rsid w:val="009708B0"/>
    <w:rsid w:val="0098319D"/>
    <w:rsid w:val="009840AD"/>
    <w:rsid w:val="00986682"/>
    <w:rsid w:val="00991980"/>
    <w:rsid w:val="00994E43"/>
    <w:rsid w:val="0099516C"/>
    <w:rsid w:val="00996BDE"/>
    <w:rsid w:val="00996D35"/>
    <w:rsid w:val="009A2509"/>
    <w:rsid w:val="009A4407"/>
    <w:rsid w:val="009A71D2"/>
    <w:rsid w:val="009B4CB3"/>
    <w:rsid w:val="009B6671"/>
    <w:rsid w:val="009C10A0"/>
    <w:rsid w:val="009C3C94"/>
    <w:rsid w:val="009C4CD3"/>
    <w:rsid w:val="009C752B"/>
    <w:rsid w:val="009E107C"/>
    <w:rsid w:val="009E5621"/>
    <w:rsid w:val="009F297D"/>
    <w:rsid w:val="009F3176"/>
    <w:rsid w:val="009F53D1"/>
    <w:rsid w:val="00A02811"/>
    <w:rsid w:val="00A07549"/>
    <w:rsid w:val="00A07E95"/>
    <w:rsid w:val="00A1407A"/>
    <w:rsid w:val="00A30806"/>
    <w:rsid w:val="00A371B1"/>
    <w:rsid w:val="00A41A86"/>
    <w:rsid w:val="00A4780A"/>
    <w:rsid w:val="00A47C88"/>
    <w:rsid w:val="00A618C5"/>
    <w:rsid w:val="00A72C09"/>
    <w:rsid w:val="00A73D82"/>
    <w:rsid w:val="00A743AD"/>
    <w:rsid w:val="00A77CE5"/>
    <w:rsid w:val="00A83C6B"/>
    <w:rsid w:val="00A84513"/>
    <w:rsid w:val="00A875DA"/>
    <w:rsid w:val="00A90F9A"/>
    <w:rsid w:val="00A92481"/>
    <w:rsid w:val="00AA2F8D"/>
    <w:rsid w:val="00AB4A82"/>
    <w:rsid w:val="00AC057B"/>
    <w:rsid w:val="00AC335D"/>
    <w:rsid w:val="00AC3A50"/>
    <w:rsid w:val="00AE041A"/>
    <w:rsid w:val="00AE76B6"/>
    <w:rsid w:val="00AF1754"/>
    <w:rsid w:val="00AF4EAC"/>
    <w:rsid w:val="00B02EBC"/>
    <w:rsid w:val="00B11983"/>
    <w:rsid w:val="00B11F85"/>
    <w:rsid w:val="00B1543F"/>
    <w:rsid w:val="00B200FC"/>
    <w:rsid w:val="00B24D00"/>
    <w:rsid w:val="00B312F5"/>
    <w:rsid w:val="00B32C1A"/>
    <w:rsid w:val="00B42134"/>
    <w:rsid w:val="00B47B71"/>
    <w:rsid w:val="00B62108"/>
    <w:rsid w:val="00B666D1"/>
    <w:rsid w:val="00B74C1F"/>
    <w:rsid w:val="00B81294"/>
    <w:rsid w:val="00B866E7"/>
    <w:rsid w:val="00BA4FFD"/>
    <w:rsid w:val="00BA7A57"/>
    <w:rsid w:val="00BB6DC5"/>
    <w:rsid w:val="00BC1667"/>
    <w:rsid w:val="00BC1766"/>
    <w:rsid w:val="00BF5264"/>
    <w:rsid w:val="00C03AB2"/>
    <w:rsid w:val="00C13030"/>
    <w:rsid w:val="00C15FA3"/>
    <w:rsid w:val="00C16BCE"/>
    <w:rsid w:val="00C21721"/>
    <w:rsid w:val="00C22C60"/>
    <w:rsid w:val="00C23921"/>
    <w:rsid w:val="00C35CC0"/>
    <w:rsid w:val="00C415F9"/>
    <w:rsid w:val="00C43FE0"/>
    <w:rsid w:val="00C50813"/>
    <w:rsid w:val="00C51AA8"/>
    <w:rsid w:val="00C54D30"/>
    <w:rsid w:val="00C56F97"/>
    <w:rsid w:val="00C62FE2"/>
    <w:rsid w:val="00C6525F"/>
    <w:rsid w:val="00C65957"/>
    <w:rsid w:val="00C75B34"/>
    <w:rsid w:val="00C86A94"/>
    <w:rsid w:val="00CA3F6B"/>
    <w:rsid w:val="00CA7329"/>
    <w:rsid w:val="00CA7B85"/>
    <w:rsid w:val="00CB194D"/>
    <w:rsid w:val="00CB3BA3"/>
    <w:rsid w:val="00CB4EF3"/>
    <w:rsid w:val="00CD0475"/>
    <w:rsid w:val="00CE3CBB"/>
    <w:rsid w:val="00CF3822"/>
    <w:rsid w:val="00CF7BE9"/>
    <w:rsid w:val="00D0111A"/>
    <w:rsid w:val="00D023BF"/>
    <w:rsid w:val="00D11548"/>
    <w:rsid w:val="00D152B9"/>
    <w:rsid w:val="00D21108"/>
    <w:rsid w:val="00D549F1"/>
    <w:rsid w:val="00D617AE"/>
    <w:rsid w:val="00D62136"/>
    <w:rsid w:val="00D62BE4"/>
    <w:rsid w:val="00D71E03"/>
    <w:rsid w:val="00D90F2C"/>
    <w:rsid w:val="00D93258"/>
    <w:rsid w:val="00D942BD"/>
    <w:rsid w:val="00D94AFC"/>
    <w:rsid w:val="00DA0737"/>
    <w:rsid w:val="00DA2069"/>
    <w:rsid w:val="00DA730C"/>
    <w:rsid w:val="00DB7A4F"/>
    <w:rsid w:val="00DC5F2D"/>
    <w:rsid w:val="00DD727E"/>
    <w:rsid w:val="00DE090D"/>
    <w:rsid w:val="00DE4BDA"/>
    <w:rsid w:val="00DF08BC"/>
    <w:rsid w:val="00DF5DAC"/>
    <w:rsid w:val="00E05225"/>
    <w:rsid w:val="00E07AA2"/>
    <w:rsid w:val="00E17FDD"/>
    <w:rsid w:val="00E25D05"/>
    <w:rsid w:val="00E4135E"/>
    <w:rsid w:val="00E45B6F"/>
    <w:rsid w:val="00E4600D"/>
    <w:rsid w:val="00E57491"/>
    <w:rsid w:val="00E62360"/>
    <w:rsid w:val="00E64446"/>
    <w:rsid w:val="00E76868"/>
    <w:rsid w:val="00E90089"/>
    <w:rsid w:val="00E936A6"/>
    <w:rsid w:val="00E951C3"/>
    <w:rsid w:val="00E96309"/>
    <w:rsid w:val="00EB799D"/>
    <w:rsid w:val="00ED2CE1"/>
    <w:rsid w:val="00ED62B6"/>
    <w:rsid w:val="00EE25D6"/>
    <w:rsid w:val="00EE3DC8"/>
    <w:rsid w:val="00EF1A39"/>
    <w:rsid w:val="00EF41A6"/>
    <w:rsid w:val="00F049F7"/>
    <w:rsid w:val="00F137E7"/>
    <w:rsid w:val="00F16F9F"/>
    <w:rsid w:val="00F20E0F"/>
    <w:rsid w:val="00F22D3E"/>
    <w:rsid w:val="00F23A9D"/>
    <w:rsid w:val="00F3425F"/>
    <w:rsid w:val="00F35FAF"/>
    <w:rsid w:val="00F37AC6"/>
    <w:rsid w:val="00F50DEA"/>
    <w:rsid w:val="00F55E10"/>
    <w:rsid w:val="00F655F2"/>
    <w:rsid w:val="00F76277"/>
    <w:rsid w:val="00F8754C"/>
    <w:rsid w:val="00F92C01"/>
    <w:rsid w:val="00F92FCC"/>
    <w:rsid w:val="00FC32CB"/>
    <w:rsid w:val="00FC7891"/>
    <w:rsid w:val="00FE69A9"/>
    <w:rsid w:val="00FF38B5"/>
    <w:rsid w:val="0A190947"/>
    <w:rsid w:val="2BC74FE4"/>
    <w:rsid w:val="7FA52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ody Text Indent"/>
    <w:basedOn w:val="1"/>
    <w:link w:val="15"/>
    <w:uiPriority w:val="0"/>
    <w:pPr>
      <w:spacing w:after="120"/>
      <w:ind w:left="420" w:leftChars="200"/>
    </w:pPr>
  </w:style>
  <w:style w:type="paragraph" w:styleId="4">
    <w:name w:val="Balloon Text"/>
    <w:basedOn w:val="1"/>
    <w:link w:val="18"/>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snapToGrid/>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Hyperlink"/>
    <w:basedOn w:val="8"/>
    <w:unhideWhenUsed/>
    <w:uiPriority w:val="99"/>
    <w:rPr>
      <w:color w:val="0000FF" w:themeColor="hyperlink"/>
      <w:u w:val="single"/>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脚 Char"/>
    <w:basedOn w:val="8"/>
    <w:link w:val="5"/>
    <w:qFormat/>
    <w:uiPriority w:val="99"/>
    <w:rPr>
      <w:rFonts w:ascii="Times New Roman" w:hAnsi="Times New Roman" w:eastAsia="宋体" w:cs="Times New Roman"/>
      <w:snapToGrid w:val="0"/>
      <w:sz w:val="18"/>
      <w:szCs w:val="18"/>
    </w:rPr>
  </w:style>
  <w:style w:type="character" w:customStyle="1" w:styleId="15">
    <w:name w:val="正文文本缩进 Char"/>
    <w:basedOn w:val="8"/>
    <w:link w:val="3"/>
    <w:qFormat/>
    <w:uiPriority w:val="0"/>
    <w:rPr>
      <w:rFonts w:ascii="Times New Roman" w:hAnsi="Times New Roman" w:eastAsia="宋体" w:cs="Times New Roman"/>
      <w:snapToGrid w:val="0"/>
      <w:szCs w:val="24"/>
    </w:rPr>
  </w:style>
  <w:style w:type="character" w:customStyle="1" w:styleId="16">
    <w:name w:val="页眉 Char"/>
    <w:basedOn w:val="8"/>
    <w:link w:val="6"/>
    <w:qFormat/>
    <w:uiPriority w:val="99"/>
    <w:rPr>
      <w:rFonts w:ascii="Times New Roman" w:hAnsi="Times New Roman" w:eastAsia="宋体" w:cs="Times New Roman"/>
      <w:snapToGrid w:val="0"/>
      <w:sz w:val="18"/>
      <w:szCs w:val="18"/>
    </w:rPr>
  </w:style>
  <w:style w:type="paragraph" w:customStyle="1" w:styleId="17">
    <w:name w:val="Char"/>
    <w:basedOn w:val="1"/>
    <w:qFormat/>
    <w:uiPriority w:val="0"/>
    <w:pPr>
      <w:spacing w:line="360" w:lineRule="auto"/>
    </w:pPr>
    <w:rPr>
      <w:snapToGrid/>
      <w:szCs w:val="20"/>
    </w:rPr>
  </w:style>
  <w:style w:type="character" w:customStyle="1" w:styleId="18">
    <w:name w:val="批注框文本 Char"/>
    <w:basedOn w:val="8"/>
    <w:link w:val="4"/>
    <w:semiHidden/>
    <w:qFormat/>
    <w:uiPriority w:val="99"/>
    <w:rPr>
      <w:rFonts w:ascii="Times New Roman" w:hAnsi="Times New Roman" w:eastAsia="宋体" w:cs="Times New Roman"/>
      <w:snapToGrid w:val="0"/>
      <w:sz w:val="18"/>
      <w:szCs w:val="18"/>
    </w:rPr>
  </w:style>
  <w:style w:type="paragraph" w:styleId="19">
    <w:name w:val="List Paragraph"/>
    <w:basedOn w:val="1"/>
    <w:qFormat/>
    <w:uiPriority w:val="34"/>
    <w:pPr>
      <w:ind w:firstLine="420" w:firstLineChars="200"/>
    </w:pPr>
    <w:rPr>
      <w:rFonts w:ascii="Calibri" w:hAnsi="Calibri"/>
      <w:snapToGrid/>
      <w:szCs w:val="22"/>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正文文本 Char"/>
    <w:basedOn w:val="8"/>
    <w:link w:val="2"/>
    <w:semiHidden/>
    <w:uiPriority w:val="99"/>
    <w:rPr>
      <w:rFonts w:ascii="Times New Roman" w:hAnsi="Times New Roman" w:eastAsia="宋体" w:cs="Times New Roman"/>
      <w:snapToGrid w:val="0"/>
      <w:szCs w:val="24"/>
    </w:r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2A3E7-B6A0-4713-9150-04884284C1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599</Words>
  <Characters>3419</Characters>
  <Lines>28</Lines>
  <Paragraphs>8</Paragraphs>
  <TotalTime>2</TotalTime>
  <ScaleCrop>false</ScaleCrop>
  <LinksUpToDate>false</LinksUpToDate>
  <CharactersWithSpaces>4010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2020-04-21T00:03:00Z</dcterms:created>
  <dc:creator>snwf</dc:creator>
  <cp:lastModifiedBy>桑扑扑</cp:lastModifiedBy>
  <cp:lastPrinted>2020-04-21T00:04:00Z</cp:lastPrinted>
  <dcterms:modified xsi:type="dcterms:W3CDTF">2020-04-23T09:06:46Z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