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9D2F">
      <w:pPr>
        <w:autoSpaceDE w:val="0"/>
        <w:adjustRightInd w:val="0"/>
        <w:snapToGrid w:val="0"/>
        <w:spacing w:line="560" w:lineRule="exact"/>
        <w:outlineLvl w:val="0"/>
        <w:rPr>
          <w:rFonts w:ascii="方正黑体_GBK" w:hAnsi="方正黑体_GBK"/>
          <w:color w:val="000000"/>
        </w:rPr>
      </w:pPr>
      <w:r>
        <w:rPr>
          <w:rFonts w:ascii="方正黑体_GBK" w:hAnsi="方正黑体_GBK"/>
          <w:color w:val="000000"/>
        </w:rPr>
        <w:t>附件：</w:t>
      </w:r>
    </w:p>
    <w:p w14:paraId="7E60E659">
      <w:pPr>
        <w:autoSpaceDE w:val="0"/>
        <w:spacing w:line="560" w:lineRule="exact"/>
        <w:jc w:val="center"/>
        <w:rPr>
          <w:rFonts w:ascii="TimesNewRoman" w:hAnsi="TimesNewRoman" w:eastAsia="华文中宋"/>
          <w:b/>
          <w:color w:val="000000"/>
          <w:sz w:val="36"/>
          <w:szCs w:val="36"/>
        </w:rPr>
      </w:pPr>
      <w:r>
        <w:rPr>
          <w:rFonts w:ascii="TimesNewRoman" w:hAnsi="TimesNewRoman" w:eastAsia="华文中宋"/>
          <w:b/>
          <w:color w:val="000000"/>
          <w:sz w:val="36"/>
          <w:szCs w:val="36"/>
        </w:rPr>
        <w:t xml:space="preserve"> </w:t>
      </w:r>
    </w:p>
    <w:p w14:paraId="68946AC2">
      <w:pPr>
        <w:autoSpaceDE w:val="0"/>
        <w:spacing w:line="560" w:lineRule="exact"/>
        <w:jc w:val="center"/>
        <w:rPr>
          <w:rFonts w:ascii="TimesNewRoman" w:hAnsi="TimesNewRoman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TimesNewRoman"/>
          <w:b/>
          <w:color w:val="000000"/>
          <w:sz w:val="36"/>
          <w:szCs w:val="36"/>
        </w:rPr>
        <w:t>淮南市农业技术推广中心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</w:rPr>
        <w:t xml:space="preserve"> 2026</w:t>
      </w:r>
      <w:r>
        <w:rPr>
          <w:rFonts w:ascii="华文中宋" w:hAnsi="华文中宋" w:eastAsia="华文中宋"/>
          <w:b/>
          <w:color w:val="000000"/>
          <w:sz w:val="36"/>
          <w:szCs w:val="36"/>
        </w:rPr>
        <w:t>年度项目支出</w:t>
      </w:r>
    </w:p>
    <w:p w14:paraId="26ADF0BF">
      <w:pPr>
        <w:autoSpaceDE w:val="0"/>
        <w:spacing w:line="560" w:lineRule="exact"/>
        <w:jc w:val="center"/>
        <w:rPr>
          <w:rFonts w:ascii="TimesNewRoman" w:hAnsi="TimesNewRoman" w:eastAsia="华文中宋"/>
          <w:b/>
          <w:color w:val="000000"/>
          <w:sz w:val="36"/>
          <w:szCs w:val="36"/>
        </w:rPr>
      </w:pPr>
      <w:r>
        <w:rPr>
          <w:rFonts w:ascii="华文中宋" w:hAnsi="华文中宋" w:eastAsia="华文中宋"/>
          <w:b/>
          <w:color w:val="000000"/>
          <w:sz w:val="36"/>
          <w:szCs w:val="36"/>
        </w:rPr>
        <w:t>绩效目标</w:t>
      </w:r>
    </w:p>
    <w:p w14:paraId="20973519">
      <w:pPr>
        <w:autoSpaceDE w:val="0"/>
        <w:adjustRightInd w:val="0"/>
        <w:snapToGrid w:val="0"/>
        <w:spacing w:line="560" w:lineRule="exact"/>
        <w:outlineLvl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 </w:t>
      </w: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516D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A6D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项目支出绩效目标公开清单</w:t>
            </w:r>
          </w:p>
        </w:tc>
      </w:tr>
      <w:tr w14:paraId="4D31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85D3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序号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139C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项目名称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05CA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预算金额（单位：万元）</w:t>
            </w:r>
          </w:p>
        </w:tc>
      </w:tr>
      <w:tr w14:paraId="00AF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4A50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574B">
            <w:pPr>
              <w:autoSpaceDE w:val="0"/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农业</w:t>
            </w:r>
            <w:r>
              <w:rPr>
                <w:rFonts w:ascii="TimesNewRoman" w:hAnsi="TimesNewRoman"/>
                <w:color w:val="000000"/>
                <w:kern w:val="0"/>
              </w:rPr>
              <w:t>“</w:t>
            </w:r>
            <w:r>
              <w:rPr>
                <w:rFonts w:ascii="仿宋_GB2312" w:hAnsi="TimesNewRoman"/>
                <w:color w:val="000000"/>
                <w:kern w:val="0"/>
              </w:rPr>
              <w:t>三情</w:t>
            </w:r>
            <w:r>
              <w:rPr>
                <w:rFonts w:ascii="TimesNewRoman" w:hAnsi="TimesNewRoman"/>
                <w:color w:val="000000"/>
                <w:kern w:val="0"/>
              </w:rPr>
              <w:t>”</w:t>
            </w:r>
            <w:r>
              <w:rPr>
                <w:rFonts w:ascii="仿宋_GB2312" w:hAnsi="TimesNewRoman"/>
                <w:color w:val="000000"/>
                <w:kern w:val="0"/>
              </w:rPr>
              <w:t>和生态环境监测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0E3F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20</w:t>
            </w:r>
            <w:r>
              <w:rPr>
                <w:rFonts w:hint="eastAsia" w:ascii="TimesNewRoman" w:hAnsi="TimesNewRoman" w:cs="TimesNewRoman"/>
                <w:color w:val="000000"/>
                <w:kern w:val="0"/>
              </w:rPr>
              <w:t>.0</w:t>
            </w:r>
          </w:p>
        </w:tc>
      </w:tr>
      <w:tr w14:paraId="0DAF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AB56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04F0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粮食作物田间试验示范与技术推广应用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E1C6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15</w:t>
            </w:r>
            <w:r>
              <w:rPr>
                <w:rFonts w:hint="eastAsia" w:ascii="TimesNewRoman" w:hAnsi="TimesNewRoman" w:cs="TimesNewRoman"/>
                <w:color w:val="000000"/>
                <w:kern w:val="0"/>
              </w:rPr>
              <w:t>.0</w:t>
            </w:r>
          </w:p>
        </w:tc>
      </w:tr>
      <w:tr w14:paraId="1E75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A2DE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3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3B28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蔬菜先进实用技术推广及应用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9F0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12</w:t>
            </w:r>
            <w:r>
              <w:rPr>
                <w:rFonts w:hint="eastAsia" w:ascii="TimesNewRoman" w:hAnsi="TimesNewRoman" w:cs="TimesNewRoman"/>
                <w:color w:val="000000"/>
                <w:kern w:val="0"/>
              </w:rPr>
              <w:t>.0</w:t>
            </w:r>
          </w:p>
        </w:tc>
      </w:tr>
      <w:tr w14:paraId="09BF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3830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4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000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市农技推广中心大楼运转管理费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C477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hint="eastAsia" w:ascii="TimesNewRoman" w:hAnsi="TimesNewRoman" w:cs="TimesNewRoman"/>
                <w:color w:val="000000"/>
                <w:kern w:val="0"/>
              </w:rPr>
              <w:t>8.9</w:t>
            </w:r>
          </w:p>
        </w:tc>
      </w:tr>
      <w:tr w14:paraId="6F04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5115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hint="eastAsia" w:ascii="TimesNewRoman" w:hAnsi="TimesNewRoman" w:cs="TimesNewRoman"/>
                <w:color w:val="000000"/>
                <w:kern w:val="0"/>
              </w:rPr>
              <w:t>5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0A5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仿宋_GB2312" w:hAnsi="TimesNewRoman"/>
                <w:color w:val="000000"/>
                <w:kern w:val="0"/>
              </w:rPr>
              <w:t>农药减量使用抽样调查及地膜回收利用</w:t>
            </w:r>
            <w:r>
              <w:rPr>
                <w:rFonts w:ascii="TimesNewRoman" w:hAnsi="TimesNewRoman"/>
                <w:color w:val="000000"/>
                <w:kern w:val="0"/>
              </w:rPr>
              <w:t>“</w:t>
            </w:r>
            <w:r>
              <w:rPr>
                <w:rFonts w:ascii="仿宋_GB2312" w:hAnsi="TimesNewRoman"/>
                <w:color w:val="000000"/>
                <w:kern w:val="0"/>
              </w:rPr>
              <w:t>以旧换新</w:t>
            </w:r>
            <w:r>
              <w:rPr>
                <w:rFonts w:ascii="TimesNewRoman" w:hAnsi="TimesNewRoman"/>
                <w:color w:val="000000"/>
                <w:kern w:val="0"/>
              </w:rPr>
              <w:t>”</w:t>
            </w:r>
            <w:r>
              <w:rPr>
                <w:rFonts w:ascii="仿宋_GB2312" w:hAnsi="TimesNewRoman"/>
                <w:color w:val="000000"/>
                <w:kern w:val="0"/>
              </w:rPr>
              <w:t>试点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A6BC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ascii="TimesNewRoman" w:hAnsi="TimesNewRoman"/>
                <w:color w:val="000000"/>
                <w:kern w:val="0"/>
              </w:rPr>
              <w:t>20</w:t>
            </w:r>
            <w:r>
              <w:rPr>
                <w:rFonts w:hint="eastAsia" w:ascii="TimesNewRoman" w:hAnsi="TimesNewRoman" w:cs="TimesNewRoman"/>
                <w:color w:val="000000"/>
                <w:kern w:val="0"/>
              </w:rPr>
              <w:t>.0</w:t>
            </w:r>
          </w:p>
        </w:tc>
      </w:tr>
      <w:tr w14:paraId="1224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DCC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6228">
            <w:pPr>
              <w:tabs>
                <w:tab w:val="left" w:pos="1120"/>
              </w:tabs>
              <w:autoSpaceDE w:val="0"/>
              <w:adjustRightInd w:val="0"/>
              <w:snapToGrid w:val="0"/>
              <w:spacing w:line="560" w:lineRule="exact"/>
              <w:ind w:firstLine="640" w:firstLineChars="200"/>
              <w:jc w:val="left"/>
              <w:outlineLvl w:val="0"/>
              <w:rPr>
                <w:rFonts w:ascii="TimesNewRoman" w:hAnsi="TimesNewRoman" w:cs="TimesNewRoman"/>
                <w:color w:val="000000"/>
                <w:kern w:val="2"/>
              </w:rPr>
            </w:pPr>
            <w:r>
              <w:rPr>
                <w:rFonts w:hint="eastAsia" w:ascii="仿宋_GB2312" w:hAnsi="TimesNewRoman" w:cs="TimesNewRoman"/>
                <w:color w:val="000000"/>
                <w:kern w:val="0"/>
              </w:rPr>
              <w:t>合</w:t>
            </w:r>
            <w:r>
              <w:rPr>
                <w:rFonts w:hint="eastAsia" w:ascii="TimesNewRoman" w:hAnsi="TimesNewRoman" w:cs="TimesNewRoman"/>
                <w:color w:val="000000"/>
                <w:kern w:val="0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  <w:kern w:val="0"/>
              </w:rPr>
              <w:t xml:space="preserve">     </w:t>
            </w:r>
            <w:r>
              <w:rPr>
                <w:rFonts w:hint="eastAsia" w:ascii="仿宋_GB2312" w:hAnsi="TimesNewRoman" w:cs="TimesNewRoman"/>
                <w:color w:val="000000"/>
                <w:kern w:val="0"/>
              </w:rPr>
              <w:t>计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07A">
            <w:pPr>
              <w:autoSpaceDE w:val="0"/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/>
                <w:color w:val="000000"/>
                <w:kern w:val="2"/>
              </w:rPr>
            </w:pPr>
            <w:r>
              <w:rPr>
                <w:rFonts w:hint="eastAsia" w:ascii="TimesNewRoman" w:hAnsi="TimesNewRoman" w:cs="TimesNewRoman"/>
                <w:color w:val="000000"/>
                <w:kern w:val="0"/>
              </w:rPr>
              <w:t>75.9</w:t>
            </w:r>
          </w:p>
        </w:tc>
      </w:tr>
    </w:tbl>
    <w:p w14:paraId="09D07865">
      <w:pPr>
        <w:rPr>
          <w:rFonts w:hint="eastAsia"/>
        </w:rPr>
      </w:pPr>
    </w:p>
    <w:p w14:paraId="5A449155">
      <w:pPr>
        <w:rPr>
          <w:rFonts w:hint="eastAsia"/>
        </w:rPr>
      </w:pPr>
    </w:p>
    <w:p w14:paraId="61828ECE">
      <w:pPr>
        <w:rPr>
          <w:rFonts w:hint="eastAsia"/>
        </w:rPr>
      </w:pPr>
    </w:p>
    <w:p w14:paraId="4840D1FD">
      <w:pPr>
        <w:rPr>
          <w:rFonts w:hint="eastAsia"/>
        </w:rPr>
      </w:pPr>
    </w:p>
    <w:tbl>
      <w:tblPr>
        <w:tblStyle w:val="2"/>
        <w:tblW w:w="949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35"/>
        <w:gridCol w:w="850"/>
        <w:gridCol w:w="1134"/>
        <w:gridCol w:w="1701"/>
        <w:gridCol w:w="893"/>
        <w:gridCol w:w="950"/>
        <w:gridCol w:w="2410"/>
      </w:tblGrid>
      <w:tr w14:paraId="2F3F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14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33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6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项目支出绩效目标表</w:t>
            </w:r>
          </w:p>
        </w:tc>
      </w:tr>
      <w:tr w14:paraId="6BF3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4A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（2026年度）                                </w:t>
            </w:r>
          </w:p>
        </w:tc>
      </w:tr>
      <w:tr w14:paraId="4712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F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4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农业“三情”和生态环境监测</w:t>
            </w:r>
          </w:p>
        </w:tc>
      </w:tr>
      <w:tr w14:paraId="1179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7D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D6F5C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[108]淮南市农业农村局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D4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淮南市农业技术推广中心</w:t>
            </w:r>
          </w:p>
        </w:tc>
      </w:tr>
      <w:tr w14:paraId="7B5B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898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76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延续项目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83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9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2026年1-12月</w:t>
            </w:r>
          </w:p>
        </w:tc>
      </w:tr>
      <w:tr w14:paraId="47115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B5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E7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C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20.0 </w:t>
            </w:r>
          </w:p>
        </w:tc>
      </w:tr>
      <w:tr w14:paraId="2A06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859F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F64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1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20.0 </w:t>
            </w:r>
          </w:p>
        </w:tc>
      </w:tr>
      <w:tr w14:paraId="6245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1CEE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9EE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5AC">
            <w:pPr>
              <w:widowControl/>
              <w:ind w:left="458" w:leftChars="143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0.0</w:t>
            </w:r>
          </w:p>
        </w:tc>
      </w:tr>
      <w:tr w14:paraId="2626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BF9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CB6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03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0.0 </w:t>
            </w:r>
          </w:p>
        </w:tc>
      </w:tr>
      <w:tr w14:paraId="1BA3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1B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26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召开农作物病虫发生趋势会商会２次，发布病虫情报５期，开展防控技术培训３期，推广高效占应防面积的８０％以上；开展土壤墒情监测和肥料使用情况定点调查；开展１种种植模式下氮磷流失监测，农膜监测点监测，野生植物资源调查．对加拿大一枝黄花和福寿螺进行防除，通过重大病虫情和农业生态环境监测调查，进行分析、研判，及时提出对策建议。       </w:t>
            </w:r>
          </w:p>
        </w:tc>
      </w:tr>
      <w:tr w14:paraId="657D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5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96DA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91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07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4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5E16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8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EF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F3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6B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病虫情数量指标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≥12期</w:t>
            </w:r>
          </w:p>
        </w:tc>
      </w:tr>
      <w:tr w14:paraId="5941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FA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B71D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CF5E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77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苗情数量指标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≥10期</w:t>
            </w:r>
          </w:p>
        </w:tc>
      </w:tr>
      <w:tr w14:paraId="0B70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85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C21B5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2D13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18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墒情数量指标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≥24期</w:t>
            </w:r>
          </w:p>
        </w:tc>
      </w:tr>
      <w:tr w14:paraId="1769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6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5DC64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035F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88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加拿大一枝黄花铲除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F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≥500亩</w:t>
            </w:r>
          </w:p>
        </w:tc>
      </w:tr>
      <w:tr w14:paraId="0391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8E7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9CFE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51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47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资金使用合规性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5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项目合理实施，完成绩效目标</w:t>
            </w:r>
          </w:p>
        </w:tc>
      </w:tr>
      <w:tr w14:paraId="232D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29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79AB7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FC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94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项目有效期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C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14:paraId="257D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E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1F9D1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B6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08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D2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以财政审核数为准</w:t>
            </w:r>
          </w:p>
        </w:tc>
      </w:tr>
      <w:tr w14:paraId="75E4E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CB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B2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EE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8E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促进增收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06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纯公益性项目</w:t>
            </w:r>
          </w:p>
        </w:tc>
      </w:tr>
      <w:tr w14:paraId="176A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3F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2398C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96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54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技术指导及政策依据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2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通过开展病虫情调查及墒情监测为农民进行生产指导，为政府决策提供依据，开展农业面源污染监测、农膜残留及外来入侵物种监测，为生态环境治理提供技术支撑。</w:t>
            </w:r>
          </w:p>
        </w:tc>
      </w:tr>
      <w:tr w14:paraId="0F0B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40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CC4D6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98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C2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绿色发展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2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为生态环境治理取得技术支撑。</w:t>
            </w:r>
          </w:p>
        </w:tc>
      </w:tr>
      <w:tr w14:paraId="301C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D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E47FE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7116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5B1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连续发展产生可持续影响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3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对稳生产、促环境有持续利好推进</w:t>
            </w:r>
          </w:p>
        </w:tc>
      </w:tr>
      <w:tr w14:paraId="6502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D6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57F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63D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26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≥85%</w:t>
            </w:r>
          </w:p>
        </w:tc>
      </w:tr>
    </w:tbl>
    <w:p w14:paraId="5FFA9690">
      <w:pPr>
        <w:rPr>
          <w:rFonts w:hint="eastAsia"/>
        </w:rPr>
      </w:pPr>
    </w:p>
    <w:tbl>
      <w:tblPr>
        <w:tblStyle w:val="2"/>
        <w:tblW w:w="949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16"/>
        <w:gridCol w:w="170"/>
        <w:gridCol w:w="1276"/>
        <w:gridCol w:w="1958"/>
        <w:gridCol w:w="1821"/>
        <w:gridCol w:w="2033"/>
      </w:tblGrid>
      <w:tr w14:paraId="59AA7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90B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项目支出绩效目标表</w:t>
            </w:r>
          </w:p>
        </w:tc>
      </w:tr>
      <w:tr w14:paraId="7E74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22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（2026年度）                                </w:t>
            </w:r>
          </w:p>
        </w:tc>
      </w:tr>
      <w:tr w14:paraId="19D0E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B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2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粮食作物田间试验示范与技术推广应用</w:t>
            </w:r>
          </w:p>
        </w:tc>
      </w:tr>
      <w:tr w14:paraId="1C59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8A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40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F2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[108]淮南市农业农村局</w:t>
            </w:r>
          </w:p>
        </w:tc>
        <w:tc>
          <w:tcPr>
            <w:tcW w:w="18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B5D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淮南市农业技术推广中心</w:t>
            </w:r>
          </w:p>
        </w:tc>
      </w:tr>
      <w:tr w14:paraId="0483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B7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ED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延续项目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E4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55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2026年1-12月</w:t>
            </w:r>
          </w:p>
        </w:tc>
      </w:tr>
      <w:tr w14:paraId="5F48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7B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B64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B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15.0</w:t>
            </w:r>
          </w:p>
        </w:tc>
      </w:tr>
      <w:tr w14:paraId="2E49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A33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553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5A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15.0 </w:t>
            </w:r>
          </w:p>
        </w:tc>
      </w:tr>
      <w:tr w14:paraId="53F3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91A7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31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1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0.0 </w:t>
            </w:r>
          </w:p>
        </w:tc>
      </w:tr>
      <w:tr w14:paraId="191D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316B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EBA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BA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0.0 </w:t>
            </w:r>
          </w:p>
        </w:tc>
      </w:tr>
      <w:tr w14:paraId="0370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0C9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03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引进试验示范推广小麦、水稻新品种20个以上，筛选出适合我市推广的优质高产品种；开展病虫害防治调查，开展绿色防控示范与推广；开展测土配方施肥，安排新型肥料田间试验示范，指导农民科学施肥。为我市粮食绿色增产模式、主推品种等选择提供依据。</w:t>
            </w:r>
          </w:p>
        </w:tc>
      </w:tr>
      <w:tr w14:paraId="5301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B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425C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41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AA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77E6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4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AC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F9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4B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引进试验示范小麦、水稻新品种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96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≥20个</w:t>
            </w:r>
          </w:p>
        </w:tc>
      </w:tr>
      <w:tr w14:paraId="331F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3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10C0A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E3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74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新品种带来增产率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1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新品种比当地对照品种增产≥5％，抗病性、抗逆性好于或等于当地主推品种。通防统治、绿色防控新农药推广，通过实施测土配方、减肥增效措施，开展产地检疫、病虫害检疫，实现我市粮食绿色增产</w:t>
            </w:r>
          </w:p>
        </w:tc>
      </w:tr>
      <w:tr w14:paraId="499C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8C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A0CF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26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C9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C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14:paraId="53F4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A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0174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DB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27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成本费用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0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≤15万元</w:t>
            </w:r>
          </w:p>
        </w:tc>
      </w:tr>
      <w:tr w14:paraId="703DD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D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78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E76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FE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技术应用带来的收入增长率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D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促进产品更新换代，带动全市粮食作物增产增收</w:t>
            </w:r>
          </w:p>
        </w:tc>
      </w:tr>
      <w:tr w14:paraId="64E8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1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BF606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7C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8D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单位社会声誉度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减少盲目种植造成小麦、水稻低产、倒伏、不抗病的风险、绿色防控和新农药推广，通过实施测土配方、减肥增效措施，开展产地检疫、病虫害检疫，实现我市粮食绿色增产粮食绿色增产</w:t>
            </w:r>
          </w:p>
        </w:tc>
      </w:tr>
      <w:tr w14:paraId="2EA8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F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B39D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8F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10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生态环境影响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A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能实现优良新品种的推广与先进农艺的结合，减少化肥使用量和农药使用量，通过科学调整施肥结构，化肥使用量保持零增长，减少环境污染。</w:t>
            </w:r>
          </w:p>
        </w:tc>
      </w:tr>
      <w:tr w14:paraId="2B95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0B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0D461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7C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9E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持续发挥作用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D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粮食增产增收，化肥减量增效</w:t>
            </w:r>
          </w:p>
        </w:tc>
      </w:tr>
      <w:tr w14:paraId="1343B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99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9B1D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3D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56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≥85百分比</w:t>
            </w:r>
          </w:p>
        </w:tc>
      </w:tr>
    </w:tbl>
    <w:p w14:paraId="6649ECD9">
      <w:pPr>
        <w:rPr>
          <w:rFonts w:hint="eastAsia"/>
        </w:rPr>
      </w:pPr>
    </w:p>
    <w:tbl>
      <w:tblPr>
        <w:tblStyle w:val="2"/>
        <w:tblW w:w="949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20"/>
        <w:gridCol w:w="66"/>
        <w:gridCol w:w="1418"/>
        <w:gridCol w:w="1842"/>
        <w:gridCol w:w="378"/>
        <w:gridCol w:w="1607"/>
        <w:gridCol w:w="1843"/>
      </w:tblGrid>
      <w:tr w14:paraId="32C1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070C">
            <w:pPr>
              <w:widowControl/>
              <w:ind w:firstLine="3052" w:firstLineChars="950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项目支出绩效目标表</w:t>
            </w:r>
          </w:p>
        </w:tc>
      </w:tr>
      <w:tr w14:paraId="4C13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7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（2026年度）                                </w:t>
            </w:r>
          </w:p>
        </w:tc>
      </w:tr>
      <w:tr w14:paraId="5B1A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B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8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蔬菜先进实用技术推广及应用</w:t>
            </w:r>
          </w:p>
        </w:tc>
      </w:tr>
      <w:tr w14:paraId="5FA3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35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3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55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[108]淮南市农业农村局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45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淮南市农业技术推广中心</w:t>
            </w:r>
          </w:p>
        </w:tc>
      </w:tr>
      <w:tr w14:paraId="740E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CF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33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延续项目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ED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项目期</w:t>
            </w:r>
            <w:bookmarkEnd w:id="0"/>
            <w:bookmarkEnd w:id="1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FF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2026年1-12月</w:t>
            </w:r>
          </w:p>
        </w:tc>
      </w:tr>
      <w:tr w14:paraId="62B41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8F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6EF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4A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12.0 </w:t>
            </w:r>
          </w:p>
        </w:tc>
      </w:tr>
      <w:tr w14:paraId="43A6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E722F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3ED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82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12.0 </w:t>
            </w:r>
          </w:p>
        </w:tc>
      </w:tr>
      <w:tr w14:paraId="23D8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3FD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47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C8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 </w:t>
            </w:r>
          </w:p>
        </w:tc>
      </w:tr>
      <w:tr w14:paraId="7CFB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4E1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2A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8C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 </w:t>
            </w:r>
          </w:p>
        </w:tc>
      </w:tr>
      <w:tr w14:paraId="0CB9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10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2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2026年3-10月引进大豆、甘薯新品种进行大田对比试验示范，进行合理田间管理、数据调查记载，考种、品质检测等一系列工作，最后优选品种、总结高产高效栽培技术并加以推广。主要推广应用叶菜类、茄果类、瓜类等七大类百十余个品种，包括“百利番茄”，产量高，抗病性强，果实耐贮运；“丰雷甜瓜”，优质杂交品种，生长势强，丰产，品质优异；“绿玉西兰花”，中熟品种，耐肥耐热，虫害少，品质优良，是伏季种植的好品种。</w:t>
            </w:r>
          </w:p>
        </w:tc>
      </w:tr>
      <w:tr w14:paraId="436C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7CCF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A0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45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1D4B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9D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1D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F4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F0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引进蔬菜新品种体系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≥30个</w:t>
            </w:r>
          </w:p>
        </w:tc>
      </w:tr>
      <w:tr w14:paraId="50A5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E5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49B2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6152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34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筛选甘薯、大豆新品种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6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≥22个</w:t>
            </w:r>
          </w:p>
        </w:tc>
      </w:tr>
      <w:tr w14:paraId="295B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C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718A6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79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AC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新品种经省级部门认定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A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14:paraId="28827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26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BEDC1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41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67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确定所试验新品种的能力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6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当年</w:t>
            </w:r>
          </w:p>
        </w:tc>
      </w:tr>
      <w:tr w14:paraId="1BFA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C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0BFC7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32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54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筛选品种费用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≤12万元</w:t>
            </w:r>
          </w:p>
        </w:tc>
      </w:tr>
      <w:tr w14:paraId="6995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13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DE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62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824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产生经济效益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7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经济效益在试验推广后产生</w:t>
            </w:r>
          </w:p>
        </w:tc>
      </w:tr>
      <w:tr w14:paraId="4253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1E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54B1D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735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F0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产生社会效益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7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能使产量增加百分之五到十</w:t>
            </w:r>
          </w:p>
        </w:tc>
      </w:tr>
      <w:tr w14:paraId="7880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6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F2F35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3F4E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0C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产生生态效益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对环境友好</w:t>
            </w:r>
          </w:p>
        </w:tc>
      </w:tr>
      <w:tr w14:paraId="5D55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A8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6E7FD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51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635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对未来影响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6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符合消费需要，产品迭代更新</w:t>
            </w:r>
          </w:p>
        </w:tc>
      </w:tr>
      <w:tr w14:paraId="5470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09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2D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30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89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5B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对新品种的需求持续</w:t>
            </w:r>
          </w:p>
        </w:tc>
      </w:tr>
    </w:tbl>
    <w:p w14:paraId="10E6DC1E">
      <w:pPr>
        <w:rPr>
          <w:rFonts w:hint="eastAsia"/>
        </w:rPr>
      </w:pPr>
    </w:p>
    <w:tbl>
      <w:tblPr>
        <w:tblStyle w:val="2"/>
        <w:tblW w:w="949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576"/>
        <w:gridCol w:w="345"/>
        <w:gridCol w:w="1357"/>
        <w:gridCol w:w="1701"/>
        <w:gridCol w:w="1843"/>
        <w:gridCol w:w="2552"/>
      </w:tblGrid>
      <w:tr w14:paraId="65CF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A6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项目支出绩效目标表</w:t>
            </w:r>
          </w:p>
        </w:tc>
      </w:tr>
      <w:tr w14:paraId="1DE0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FE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（2026年度）                                </w:t>
            </w:r>
          </w:p>
        </w:tc>
      </w:tr>
      <w:tr w14:paraId="624C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00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市农技推广中心大楼运转管理费</w:t>
            </w:r>
          </w:p>
        </w:tc>
      </w:tr>
      <w:tr w14:paraId="5F0F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357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0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88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[108]淮南市农业农村局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4B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淮南市农业技术推广中心</w:t>
            </w:r>
          </w:p>
        </w:tc>
      </w:tr>
      <w:tr w14:paraId="0719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A5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20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延续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84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A1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2026年1-12月</w:t>
            </w:r>
          </w:p>
        </w:tc>
      </w:tr>
      <w:tr w14:paraId="0F49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0F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A8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6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8.9 </w:t>
            </w:r>
          </w:p>
        </w:tc>
      </w:tr>
      <w:tr w14:paraId="7C8F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D2AB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3A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6D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8.9</w:t>
            </w:r>
          </w:p>
        </w:tc>
      </w:tr>
      <w:tr w14:paraId="41026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C695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46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CF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 </w:t>
            </w:r>
          </w:p>
        </w:tc>
      </w:tr>
      <w:tr w14:paraId="3D57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09C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927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78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 </w:t>
            </w:r>
          </w:p>
        </w:tc>
      </w:tr>
      <w:tr w14:paraId="6C98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6E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确保大楼总体运行安全。</w:t>
            </w:r>
          </w:p>
        </w:tc>
      </w:tr>
      <w:tr w14:paraId="3171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8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D2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798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22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48A4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7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B9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3C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2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办公大楼数量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1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1栋</w:t>
            </w:r>
          </w:p>
        </w:tc>
      </w:tr>
      <w:tr w14:paraId="364F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3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277C9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BB6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B44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运转安全稳定</w:t>
            </w:r>
          </w:p>
        </w:tc>
      </w:tr>
      <w:tr w14:paraId="08F4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E1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DAD7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25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4E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项目实施期限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A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14:paraId="13C9C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D9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E0485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A7D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51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成本费用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1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以财政审核数为准</w:t>
            </w:r>
          </w:p>
        </w:tc>
      </w:tr>
      <w:tr w14:paraId="025E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8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6E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480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86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项目经济性质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B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纯公益性</w:t>
            </w:r>
          </w:p>
        </w:tc>
      </w:tr>
      <w:tr w14:paraId="42BB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B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C5F93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CC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A5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社会生产安全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54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保障大楼和实验室运行安全</w:t>
            </w:r>
          </w:p>
        </w:tc>
      </w:tr>
      <w:tr w14:paraId="1DC2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27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65A1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3B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9F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环境影响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A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节能低碳环保</w:t>
            </w:r>
          </w:p>
        </w:tc>
      </w:tr>
      <w:tr w14:paraId="0AAC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F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9CA93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430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67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对长远发展影响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5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持续服务三农事业发展</w:t>
            </w:r>
          </w:p>
        </w:tc>
      </w:tr>
      <w:tr w14:paraId="1050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1E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A0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2C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36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1C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</w:tr>
    </w:tbl>
    <w:p w14:paraId="35A7AA7D">
      <w:pPr>
        <w:rPr>
          <w:rFonts w:hint="eastAsia"/>
        </w:rPr>
      </w:pPr>
    </w:p>
    <w:tbl>
      <w:tblPr>
        <w:tblStyle w:val="2"/>
        <w:tblW w:w="949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5"/>
        <w:gridCol w:w="1283"/>
        <w:gridCol w:w="1626"/>
        <w:gridCol w:w="359"/>
        <w:gridCol w:w="1327"/>
        <w:gridCol w:w="2784"/>
      </w:tblGrid>
      <w:tr w14:paraId="15C5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B22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  <w:p w14:paraId="32299A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  <w:p w14:paraId="2E2ABA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项目支出绩效目标表</w:t>
            </w:r>
          </w:p>
        </w:tc>
      </w:tr>
      <w:tr w14:paraId="5A31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0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（2026年度）                                </w:t>
            </w:r>
          </w:p>
        </w:tc>
      </w:tr>
      <w:tr w14:paraId="2A99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B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6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农药减量使用抽样调查及地膜回收利用“以旧换新”试点</w:t>
            </w:r>
          </w:p>
        </w:tc>
      </w:tr>
      <w:tr w14:paraId="406E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8B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9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75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[108]淮南市农业农村局</w:t>
            </w:r>
          </w:p>
        </w:tc>
        <w:tc>
          <w:tcPr>
            <w:tcW w:w="16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AA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淮南市农业技术推广中心</w:t>
            </w:r>
          </w:p>
        </w:tc>
      </w:tr>
      <w:tr w14:paraId="25FF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05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79D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延续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D2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8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2026年1-12月</w:t>
            </w:r>
          </w:p>
        </w:tc>
      </w:tr>
      <w:tr w14:paraId="5E12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AC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1CB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F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20.0</w:t>
            </w:r>
          </w:p>
        </w:tc>
      </w:tr>
      <w:tr w14:paraId="7C4D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E996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9E9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7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20.0 </w:t>
            </w:r>
          </w:p>
        </w:tc>
      </w:tr>
      <w:tr w14:paraId="22F7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EE0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293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6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 </w:t>
            </w:r>
          </w:p>
        </w:tc>
      </w:tr>
      <w:tr w14:paraId="25BF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D6F5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FB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3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0.0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3EC5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62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A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药使用品种结构更加合理，科学安全用药技术水平全面提升，力争化学农药使用总量保持持续下降势头。1、水稻、小麦、大豆等主要粮食作物化学农药使用强度(单位播种面积化学农药使用折百量)到2026年力争比“十四五”期间降低5％。2、水稻、小麦、玉米三大粮食作物统防统治覆盖率达到50％以上。计划覆盖增厚地膜面积210亩，通过以旧换新回收20吨废旧地膜，进一步减少田间农膜残留，提升我市农膜的回收率。</w:t>
            </w:r>
          </w:p>
        </w:tc>
      </w:tr>
      <w:tr w14:paraId="5B04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6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0A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D61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BA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59D7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8D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99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0A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72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农药使用抽样调查户数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4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180户</w:t>
            </w:r>
          </w:p>
        </w:tc>
      </w:tr>
      <w:tr w14:paraId="368D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D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9409A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91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CA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完成质量情况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按时完成目标考核</w:t>
            </w:r>
          </w:p>
        </w:tc>
      </w:tr>
      <w:tr w14:paraId="38CE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C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1C3E4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E8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E8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14:paraId="01CE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C1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9EF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F41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18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成本费用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F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≤20万元</w:t>
            </w:r>
          </w:p>
        </w:tc>
      </w:tr>
      <w:tr w14:paraId="1C68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12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CF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5B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31E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项目经济性质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纯公益性</w:t>
            </w:r>
          </w:p>
        </w:tc>
      </w:tr>
      <w:tr w14:paraId="3CB1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9F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8B9CE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D0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03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项目对社会影响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减少农药使用率，提高农膜回收率，减少农膜残留造成的污染</w:t>
            </w:r>
          </w:p>
        </w:tc>
      </w:tr>
      <w:tr w14:paraId="414A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1112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94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7E4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项目对生态影响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C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通过开展农药减量，地膜回收试点，提高生态治理和农村环境</w:t>
            </w:r>
          </w:p>
        </w:tc>
      </w:tr>
      <w:tr w14:paraId="6B7A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1C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448EB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E28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AF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持续发挥作用的期限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对生态环境持续友好，满足长远发展</w:t>
            </w:r>
          </w:p>
        </w:tc>
      </w:tr>
      <w:tr w14:paraId="52AD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8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0A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12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05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受众群众满意度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C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≥85百分比</w:t>
            </w:r>
          </w:p>
        </w:tc>
      </w:tr>
    </w:tbl>
    <w:p w14:paraId="061CD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657"/>
    <w:rsid w:val="00097B5A"/>
    <w:rsid w:val="0023377A"/>
    <w:rsid w:val="002C4044"/>
    <w:rsid w:val="00312760"/>
    <w:rsid w:val="003C4E15"/>
    <w:rsid w:val="00486C88"/>
    <w:rsid w:val="005A4267"/>
    <w:rsid w:val="00746B1B"/>
    <w:rsid w:val="00786657"/>
    <w:rsid w:val="008B2745"/>
    <w:rsid w:val="008C01FF"/>
    <w:rsid w:val="00987A42"/>
    <w:rsid w:val="009A5E3E"/>
    <w:rsid w:val="00A01D8B"/>
    <w:rsid w:val="00A255BC"/>
    <w:rsid w:val="00D04119"/>
    <w:rsid w:val="00DE154C"/>
    <w:rsid w:val="00F70730"/>
    <w:rsid w:val="00F92E89"/>
    <w:rsid w:val="02CB6B03"/>
    <w:rsid w:val="0BD762D6"/>
    <w:rsid w:val="0EE2182C"/>
    <w:rsid w:val="12A25865"/>
    <w:rsid w:val="43B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6</Pages>
  <Words>732</Words>
  <Characters>785</Characters>
  <Lines>27</Lines>
  <Paragraphs>7</Paragraphs>
  <TotalTime>4</TotalTime>
  <ScaleCrop>false</ScaleCrop>
  <LinksUpToDate>false</LinksUpToDate>
  <CharactersWithSpaces>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2026-03-02T04:24:00Z</dcterms:created>
  <dc:creator>桑三博客</dc:creator>
  <cp:lastModifiedBy>蒲公英的翅膀</cp:lastModifiedBy>
  <dcterms:modified xsi:type="dcterms:W3CDTF">2026-03-02T09:08:52Z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eyJoZGlkIjoiY2ZhN2E4OGVkNGQwMmUzOTk2MmY3YWQzNGFlNzdlMGMiLCJ1c2VySWQiOiI2Mjk4MTY1MzkifQ==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5D75C523429C44CDB5F14B04CD40FD7A_12</vt:lpwstr>
  </property>
</Properties>
</file>