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43"/>
        </w:tabs>
        <w:bidi w:val="0"/>
        <w:jc w:val="left"/>
        <w:rPr>
          <w:rFonts w:hint="eastAsia" w:ascii="仿宋" w:hAnsi="仿宋" w:eastAsia="仿宋" w:cs="仿宋"/>
          <w:kern w:val="2"/>
          <w:sz w:val="28"/>
          <w:szCs w:val="28"/>
          <w:lang w:val="en-US" w:eastAsia="zh-CN" w:bidi="ar-SA"/>
        </w:rPr>
      </w:pPr>
      <w:bookmarkStart w:id="0" w:name="_GoBack"/>
      <w:bookmarkEnd w:id="0"/>
      <w:r>
        <w:rPr>
          <w:rFonts w:hint="eastAsia" w:ascii="仿宋" w:hAnsi="仿宋" w:eastAsia="仿宋" w:cs="仿宋"/>
          <w:kern w:val="2"/>
          <w:sz w:val="28"/>
          <w:szCs w:val="28"/>
          <w:lang w:val="en-US" w:eastAsia="zh-CN" w:bidi="ar-SA"/>
        </w:rPr>
        <w:t>附件1</w:t>
      </w:r>
    </w:p>
    <w:p>
      <w:pPr>
        <w:tabs>
          <w:tab w:val="left" w:pos="1143"/>
        </w:tabs>
        <w:bidi w:val="0"/>
        <w:ind w:firstLine="1325" w:firstLineChars="3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淮南市2023年度高标准农田建设项目</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竣工验收服务需求</w:t>
      </w:r>
    </w:p>
    <w:p>
      <w:pPr>
        <w:tabs>
          <w:tab w:val="left" w:pos="1143"/>
        </w:tabs>
        <w:bidi w:val="0"/>
        <w:ind w:firstLine="60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30"/>
          <w:szCs w:val="30"/>
          <w:lang w:val="en-US" w:eastAsia="zh-CN" w:bidi="ar-SA"/>
        </w:rPr>
        <w:t>一、项目简介</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1.1高标准农田建设目标任务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加强农业基础设施和生态建设，提高农业综合生产能力，保障国家粮食安全，保障国家粮食安全的总体要求，深入实施藏粮于地、藏粮于技战略，带动农民增收，促进农业可持续发展和农业现代化。</w:t>
      </w:r>
    </w:p>
    <w:p>
      <w:pPr>
        <w:tabs>
          <w:tab w:val="left" w:pos="1143"/>
        </w:tabs>
        <w:bidi w:val="0"/>
        <w:ind w:firstLine="56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1.2高标准农田建设主要内容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全国高标准农田建设总体规划（2021-2030年）》和《高标准农田建设通则》（GB／T30600-2022）要求，实行田、土、水、路、林、电、技、管综合配套，重点在土地平整、土壤改良、灌溉排水、田间道路、农田防护与生态环境保持、农田输配电、科技服务和建后管护等方面加大建设力度，有效提高耕地地力和质量。重点建设小农户急需的通田到地末级灌溉渠道、机耕生产道路等设施，解决水利农田“最后一公里”问题。</w:t>
      </w:r>
    </w:p>
    <w:p>
      <w:pPr>
        <w:tabs>
          <w:tab w:val="left" w:pos="1143"/>
        </w:tabs>
        <w:bidi w:val="0"/>
        <w:ind w:firstLine="60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30"/>
          <w:szCs w:val="30"/>
          <w:lang w:val="en-US" w:eastAsia="zh-CN" w:bidi="ar-SA"/>
        </w:rPr>
        <w:t>二、验收任务、内容和要求</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2.1验收任务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对2023年全市7个县区 24 万亩，共34个项目。其中大通区 3 万亩4个项目，田家庵区1万亩1个项目，谢家集区2万亩4个项目，潘集区2.5万亩4个项目，毛集实验区1万亩1个项目，寿县13万亩16个项目，凤台县1.5万亩4个项目，7月31日前全面完成市级验收工作。</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2.2竣工验收内容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2.2.1项目规划、项目库及项目评审专家库建立和管理情况。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2.2.2项目立项、征求群众意见及公开公示情况。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2.2.3项目建设组织及制度保障措施，施工单位、监理单位日常监管工作开展情况。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 批复的初步设计和实施计划中工程完成和工程质量情况，主要设备及配套设施运行情况。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2.2.5 调整、终止项目的申报审核审批材料。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2.2.6 项目资金落实及支付情况，竣工决算编制及审计情况。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2.2.7 工程管护制度建立和管护主体落实情况。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2.2.8耕地质量建设工作开展情况。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2.2.9上图入库工作情况。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2.2.10项目档案收集整理归档等管理情况。</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2.3市级竣工验收依据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2.3.1高标准农田建设项目有关建设标准、制度和通知要求。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2.3.2年度实施计划批复、初步设计批复及调整、终止批复文件，经审批的实施计划、初步设计等。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2.3.3 现行施工技术验收规范，施工图、主要设备技术说明书等。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2.3.4招标文件及其合同。</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2.3.5项目资金下达文件及资金使用管理制度，项目资金支付有关财务资料等。</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2.4市级竣工验收条件</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2.4.1县、区级验收中存在的问题已全部整改。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2.4.2 完成工程决算和审计，已按合同约定支付工程款。</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2.4.3 工程管护制度已建立，管护主体已落实。</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2.4.4已完成立项、实施阶段项目上图入库工作。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2.4.5有具备相应资质单位出具的耕地质量等级评价报告。</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2.4.6有县、区级竣工验收报告、项目管理情况报告、资金管理使用情况报告等。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2.4.7 已按照上级档案管理有关要求，完成建设项目各环节文件资料的收集、整理，项目档案健全，目录清晰，归档合理。</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2.5 市级竣工验收时间</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县、区级农业农村部门</w:t>
      </w:r>
      <w:r>
        <w:rPr>
          <w:rFonts w:hint="eastAsia" w:ascii="仿宋" w:hAnsi="仿宋" w:eastAsia="仿宋" w:cs="仿宋"/>
          <w:kern w:val="2"/>
          <w:sz w:val="28"/>
          <w:szCs w:val="28"/>
          <w:highlight w:val="yellow"/>
          <w:lang w:val="en-US" w:eastAsia="zh-CN" w:bidi="ar-SA"/>
        </w:rPr>
        <w:t>2024年5月底</w:t>
      </w:r>
      <w:r>
        <w:rPr>
          <w:rFonts w:hint="eastAsia" w:ascii="仿宋" w:hAnsi="仿宋" w:eastAsia="仿宋" w:cs="仿宋"/>
          <w:kern w:val="2"/>
          <w:sz w:val="28"/>
          <w:szCs w:val="28"/>
          <w:lang w:val="en-US" w:eastAsia="zh-CN" w:bidi="ar-SA"/>
        </w:rPr>
        <w:t>前完成所有建设项目县、区级验收工作，并及时向市级农业农村部门提出市级竣工验收申请，并附县级验收报告及附表。市级在接到县、区级验收申请后，5个工作日内，组织验收组开展验收工作。验收时间视工程规模而定。市级验收约6月中旬开始，7月底前全面完成市级验收。</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2.6 验收人员组成</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验收组人员为不得少于7人的单数，组长由市农业农村局人员担任，专家不少于三分之二人数，为工程档案管理专家、工程财务管理专家、造价工程师等。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2.7市级竣工验收程序和方法：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2.7.1县、区级农业农村部门提交市级竣工验收申请。</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2.7.2市农业农村部门组织制定验收方案，成立验收组，落实验收工作任务，下达验收通知。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2.7.3验收组听取验收工作汇报。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报内容主要包括：项目计划情况、项目完成情况、资金使用情况、项目管理情况、县级初验情况、决算审计情况、市级验收准备工作情况、工程管护主体落实情况、绩效情况、好的做法和先进经验、存在问题和建议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2.7.4验收组查看音像及图版资料。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2.7.5验收组人员按建设内容分任务，将验收目标任务和工作责任分解落实到每一个验收组成员。</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2.7.6查看建设资料，工程实地抽查。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查项目建设范围，对照规划图，看治理任务是否完成；查项目规划，对照规划图，看规划布局是否合理；查项目建设情况，对照批复，看工程数量是否足实；查工程形象和外观质量，对照设计图，看工程形象和外观质量是否符合要求；查内业文档资料，对照项目管理规定，看建设档案是否完整、规范；查财务账簿、凭证，对照财务管理规定，看资金支付结算是否规范；查问题整改情况，对照县级验收报告、审计报告，看问题整改是否落实到位。</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2.7.7 验收组内部汇总查验结果，提出整改意见和建议。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2.7.8县、区级农业农村局整改落实，报送整改报告，市农业农村局和服务机构跟踪整改落实情况。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2.7.9验收组提交市级竣工验收报告。</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2.8 验收结论。</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验收结论分为“合格”与“不合格”两类。凡是存在不符合下述标准之一的，均列为“不合格”项目：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2.8.1 严格执行项目法人制和国家有关招标投标、政府采购、合同管理、工程监理、资金和项目公示等规定。</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2.8.2按照批复的初步设计和实施计划完成所有建设内容。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2.8.3工程质量达到设计要求。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2.8.4耕地质量建设措施覆盖面积达到建设区面积的90％以上，耕地质量有所提升（确定提升等级）。</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2.8.5 落实建后管护责任。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2.8.6完成项目上图入库工作。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市农业农村局汇总全市验收结果及时报省农业农村厅，并向各县区通报。</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三、服务要求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 验收单位不得与所验收的项目建设各方主体存在利害关系。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 验收单位须针对验收项目配备结构合理、数量适当、人员稳定的专业队伍。</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 验收单位要配备相应的投影仪、相机、电脑等设备，在验收过程中收集音像、会议记录、整改意见和整改报告、验收报告等资料，验收结束后，一并归整交委托人。</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3.4 验收单位验收项目时须执行国家和省、市相关政策、法规和标准。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3.5验收单位须遵守职业道德，对执业中知悉的商业秘密及其他秘密事项予以保密。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3.6验收单位要提供钻孔取芯机、回弹仪、米尺、测距仪等检测工具。</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四、申请人的资格要求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4.1满足《中华人民共和国政府采购法》第二十二条规定；</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4.2落实政府采购政策需满足的资格要求：按照财政部、工业和信息化部制定的《政府采购促进中小企业发展管理办法》，本项目为专门面向中小企业采购项目；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4.3本项目的特定资格要求：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（1）供应商须在中华人民共和国境内注册，具有独立法人资格，持有效的营业执照或事业单位法人证书；</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（2）供应商信誉要求：（提供以下对应的网页查询截图或承诺书）</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①未被最高人民法院在“中国执行信息公开网”网站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（http：／／zxgk.court.gov.cn）列入失信被执行人失信惩戒名单（截图可提供“中国执行信息公开网”的网页查询截图，无受惩戒信息。）；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②未被中国政府采购网（www.ccgp.gov.cn）列入“政府采购严重违法失信行为记录名单”（截图可提供中国政府采购网的政府采购严重违法失信行为记录名单里的企业网页查询截图，无违法失信信息；或者提供“信用中国”-“信用服务”-“政府采购严重违法失信名单”的网页查询截图，无违法失信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③未被国家市场监督管理部门在国家企业信用信息公示系统（www.gsxt.gov.cn）中列入严重违法失信企业名单。（提供投标人在国家企业信用信息公示系统网页 查询截图，严重违法失信一栏中无不良记录）；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④未被国家税务总局列入“重大税收违法案件当事人”名单。（截图可提供“国家税务总局”官方网站-“纳税服务”-“重大税收违法案件查询”的网页查询 截图，无违法信息：或者提供“信用中国”-“信用服务”-“重大税收违法案件查询”的网页查询截图，无违法信息）；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4.4法定代表人为同一个人的两个及两个以上法人，母公司、全资子公司及其控股公司，不得对本项目同时投标。</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4.5供应商存在以下不良信用记录情形之一的，不得推荐为中标候选人，不得确定为成交供应商：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（1）供应商被人民法院列入失信被执行人的；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（2）供应商被工商行政管理部门列入企业经营异常名录的；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（3）投标人被税务部门列入重大税收违法案件当事人名单的；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（4）投标人被政府采购监管部门列入政府采购严重违法失信行为记录名单的。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4.6资格审查方式：资格后审。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4.7供应商应将响应文件正本与副本装订密封（正本1份、副本3份），密封袋上应正确标明“正本”或“副本”字样。响应文件正本和副本应分别密封。所有封袋上都必须注明：（采购人名称、供应商名称，正本／副本，并注明“在</w:t>
      </w:r>
      <w:r>
        <w:rPr>
          <w:rFonts w:hint="eastAsia" w:ascii="仿宋" w:hAnsi="仿宋" w:eastAsia="仿宋" w:cs="仿宋"/>
          <w:kern w:val="2"/>
          <w:sz w:val="28"/>
          <w:szCs w:val="28"/>
          <w:highlight w:val="yellow"/>
          <w:lang w:val="en-US" w:eastAsia="zh-CN" w:bidi="ar-SA"/>
        </w:rPr>
        <w:t>2024年6月7日10时前</w:t>
      </w:r>
      <w:r>
        <w:rPr>
          <w:rFonts w:hint="eastAsia" w:ascii="仿宋" w:hAnsi="仿宋" w:eastAsia="仿宋" w:cs="仿宋"/>
          <w:kern w:val="2"/>
          <w:sz w:val="28"/>
          <w:szCs w:val="28"/>
          <w:lang w:val="en-US" w:eastAsia="zh-CN" w:bidi="ar-SA"/>
        </w:rPr>
        <w:t>（投标截止时间）之前不得启封”字样。</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五、评标办法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了做好淮南市2023年度高标准农田建设项目第三方验收服务招标评标工作，保证工作的正常有序进行，维护采购人、投标人的合法权益，依据《中华人民共和国政府采购法》和实施条例及其它相关法律法规，本着公开、公平、公正的原则，制定评标办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5.1本次项目评标采用综合评分法作为对投标人标书的比较方法。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5.2采购人负责抽取组织不少于3人组成的评标委员会（以下简称评委会），负责本项目的评标工作。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5.3评委会按照“客观公正，实事求是”的原则，评价参加本次招标的投标人所提供的产品服务质量、及对招标文件的符合性及响应性。</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附件2</w:t>
      </w:r>
    </w:p>
    <w:p>
      <w:pPr>
        <w:pStyle w:val="2"/>
        <w:jc w:val="both"/>
        <w:rPr>
          <w:rFonts w:hint="eastAsia"/>
          <w:sz w:val="44"/>
          <w:szCs w:val="44"/>
          <w:lang w:val="en-US" w:eastAsia="zh-CN"/>
        </w:rPr>
      </w:pPr>
    </w:p>
    <w:p>
      <w:pPr>
        <w:pStyle w:val="2"/>
        <w:rPr>
          <w:rFonts w:hint="eastAsia"/>
          <w:sz w:val="44"/>
          <w:szCs w:val="44"/>
        </w:rPr>
      </w:pPr>
      <w:r>
        <w:rPr>
          <w:rFonts w:hint="eastAsia"/>
          <w:sz w:val="44"/>
          <w:szCs w:val="44"/>
          <w:lang w:val="en-US" w:eastAsia="zh-CN"/>
        </w:rPr>
        <w:t>淮南市</w:t>
      </w:r>
      <w:r>
        <w:rPr>
          <w:rFonts w:hint="eastAsia"/>
          <w:sz w:val="44"/>
          <w:szCs w:val="44"/>
        </w:rPr>
        <w:t>2023年</w:t>
      </w:r>
      <w:r>
        <w:rPr>
          <w:rFonts w:hint="eastAsia"/>
          <w:sz w:val="44"/>
          <w:szCs w:val="44"/>
          <w:lang w:eastAsia="zh-CN"/>
        </w:rPr>
        <w:t>度</w:t>
      </w:r>
      <w:r>
        <w:rPr>
          <w:rFonts w:hint="eastAsia"/>
          <w:sz w:val="44"/>
          <w:szCs w:val="44"/>
        </w:rPr>
        <w:t>高标准农田建设</w:t>
      </w:r>
      <w:r>
        <w:rPr>
          <w:rFonts w:hint="eastAsia"/>
          <w:sz w:val="44"/>
          <w:szCs w:val="44"/>
          <w:lang w:eastAsia="zh-CN"/>
        </w:rPr>
        <w:t>项目</w:t>
      </w:r>
      <w:r>
        <w:rPr>
          <w:rFonts w:hint="eastAsia"/>
          <w:sz w:val="44"/>
          <w:szCs w:val="44"/>
        </w:rPr>
        <w:t>市级</w:t>
      </w:r>
    </w:p>
    <w:p>
      <w:pPr>
        <w:pStyle w:val="2"/>
        <w:rPr>
          <w:sz w:val="44"/>
          <w:szCs w:val="44"/>
        </w:rPr>
      </w:pPr>
      <w:r>
        <w:rPr>
          <w:rFonts w:hint="eastAsia"/>
          <w:sz w:val="44"/>
          <w:szCs w:val="44"/>
        </w:rPr>
        <w:t>竣工验收核查要点</w:t>
      </w: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ind w:firstLine="642" w:firstLineChars="200"/>
        <w:rPr>
          <w:rFonts w:ascii="仿宋_GB2312" w:eastAsia="仿宋_GB2312"/>
          <w:sz w:val="32"/>
          <w:szCs w:val="32"/>
        </w:rPr>
      </w:pPr>
      <w:r>
        <w:rPr>
          <w:rFonts w:hint="eastAsia" w:ascii="仿宋_GB2312" w:eastAsia="仿宋_GB2312"/>
          <w:b/>
          <w:sz w:val="32"/>
          <w:szCs w:val="32"/>
        </w:rPr>
        <w:t>一、档案资料核查要点。</w:t>
      </w:r>
    </w:p>
    <w:p>
      <w:pPr>
        <w:ind w:firstLine="640" w:firstLineChars="200"/>
        <w:rPr>
          <w:rFonts w:hint="eastAsia" w:ascii="仿宋_GB2312" w:eastAsia="仿宋_GB2312"/>
          <w:sz w:val="32"/>
          <w:szCs w:val="32"/>
        </w:rPr>
      </w:pPr>
      <w:r>
        <w:rPr>
          <w:rFonts w:hint="eastAsia" w:ascii="仿宋_GB2312" w:eastAsia="仿宋_GB2312"/>
          <w:sz w:val="32"/>
          <w:szCs w:val="32"/>
        </w:rPr>
        <w:t>核查</w:t>
      </w:r>
      <w:r>
        <w:rPr>
          <w:rFonts w:ascii="仿宋" w:hAnsi="仿宋" w:eastAsia="仿宋"/>
          <w:sz w:val="32"/>
          <w:szCs w:val="32"/>
        </w:rPr>
        <w:t>项目规划、项目库及项目评审专家库建立和管理情况</w:t>
      </w:r>
      <w:r>
        <w:rPr>
          <w:rFonts w:hint="eastAsia" w:ascii="仿宋" w:hAnsi="仿宋" w:eastAsia="仿宋"/>
          <w:sz w:val="32"/>
          <w:szCs w:val="32"/>
        </w:rPr>
        <w:t>。</w:t>
      </w:r>
      <w:r>
        <w:rPr>
          <w:rFonts w:hint="eastAsia" w:ascii="仿宋_GB2312" w:eastAsia="仿宋_GB2312"/>
          <w:sz w:val="32"/>
          <w:szCs w:val="32"/>
        </w:rPr>
        <w:t>核查</w:t>
      </w:r>
      <w:r>
        <w:rPr>
          <w:rFonts w:ascii="仿宋" w:hAnsi="仿宋" w:eastAsia="仿宋"/>
          <w:sz w:val="32"/>
          <w:szCs w:val="32"/>
        </w:rPr>
        <w:t>项目立项、征求群众意见及公开公示情况</w:t>
      </w:r>
      <w:r>
        <w:rPr>
          <w:rFonts w:hint="eastAsia" w:ascii="仿宋" w:hAnsi="仿宋" w:eastAsia="仿宋"/>
          <w:sz w:val="32"/>
          <w:szCs w:val="32"/>
        </w:rPr>
        <w:t>。</w:t>
      </w:r>
      <w:r>
        <w:rPr>
          <w:rFonts w:hint="eastAsia" w:ascii="仿宋_GB2312" w:eastAsia="仿宋_GB2312"/>
          <w:sz w:val="32"/>
          <w:szCs w:val="32"/>
        </w:rPr>
        <w:t>核查项目计划、初步设计及调整计划批复和施工合同、竣工统计表、田间工程、工程决算、资金结算的一致性。核查立项、计划、招标、设计、施工、移交等建设过程资料的规范性、完整性，是否按照省厅要求分类整理。核查耕地质量建设工作开展情况。核查</w:t>
      </w:r>
      <w:r>
        <w:rPr>
          <w:rFonts w:ascii="仿宋" w:hAnsi="仿宋" w:eastAsia="仿宋"/>
          <w:sz w:val="32"/>
          <w:szCs w:val="32"/>
        </w:rPr>
        <w:t>上图入库工作情况</w:t>
      </w:r>
      <w:r>
        <w:rPr>
          <w:rFonts w:hint="eastAsia" w:ascii="仿宋" w:hAnsi="仿宋" w:eastAsia="仿宋"/>
          <w:sz w:val="32"/>
          <w:szCs w:val="32"/>
        </w:rPr>
        <w:t>。</w:t>
      </w:r>
      <w:r>
        <w:rPr>
          <w:rFonts w:hint="eastAsia" w:ascii="仿宋_GB2312" w:eastAsia="仿宋_GB2312"/>
          <w:sz w:val="32"/>
          <w:szCs w:val="32"/>
        </w:rPr>
        <w:t>核查</w:t>
      </w:r>
      <w:r>
        <w:rPr>
          <w:rFonts w:ascii="仿宋" w:hAnsi="仿宋" w:eastAsia="仿宋"/>
          <w:sz w:val="32"/>
          <w:szCs w:val="32"/>
        </w:rPr>
        <w:t>项目档案收集整理归档管理情况</w:t>
      </w:r>
      <w:r>
        <w:rPr>
          <w:rFonts w:hint="eastAsia" w:ascii="仿宋" w:hAnsi="仿宋" w:eastAsia="仿宋"/>
          <w:sz w:val="32"/>
          <w:szCs w:val="32"/>
          <w:lang w:eastAsia="zh-CN"/>
        </w:rPr>
        <w:t>等</w:t>
      </w:r>
      <w:r>
        <w:rPr>
          <w:rFonts w:ascii="仿宋" w:hAnsi="仿宋" w:eastAsia="仿宋"/>
          <w:sz w:val="32"/>
          <w:szCs w:val="32"/>
        </w:rPr>
        <w:t>。</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二、现场核查要点</w:t>
      </w:r>
    </w:p>
    <w:p>
      <w:pPr>
        <w:ind w:firstLine="640" w:firstLineChars="200"/>
        <w:rPr>
          <w:rFonts w:ascii="仿宋_GB2312" w:eastAsia="仿宋_GB2312"/>
          <w:sz w:val="32"/>
          <w:szCs w:val="32"/>
        </w:rPr>
      </w:pPr>
      <w:r>
        <w:rPr>
          <w:rFonts w:hint="eastAsia" w:ascii="仿宋_GB2312" w:eastAsia="仿宋_GB2312"/>
          <w:sz w:val="32"/>
          <w:szCs w:val="32"/>
        </w:rPr>
        <w:t>(一)总体形象。根据项目工程布局、各项措施建设标准和管护情况，确定项目区总体形象。</w:t>
      </w:r>
    </w:p>
    <w:p>
      <w:pPr>
        <w:ind w:firstLine="640" w:firstLineChars="200"/>
        <w:rPr>
          <w:rFonts w:ascii="仿宋_GB2312" w:eastAsia="仿宋_GB2312"/>
          <w:sz w:val="32"/>
          <w:szCs w:val="32"/>
        </w:rPr>
      </w:pPr>
      <w:r>
        <w:rPr>
          <w:rFonts w:hint="eastAsia" w:ascii="仿宋_GB2312" w:eastAsia="仿宋_GB2312"/>
          <w:sz w:val="32"/>
          <w:szCs w:val="32"/>
        </w:rPr>
        <w:t>(二)单项建筑物。按建筑物类型，对照档案资料，逐项分类检查，单类建筑物</w:t>
      </w:r>
      <w:r>
        <w:rPr>
          <w:rFonts w:hint="eastAsia" w:ascii="仿宋_GB2312" w:eastAsia="仿宋_GB2312"/>
          <w:sz w:val="32"/>
          <w:szCs w:val="32"/>
          <w:lang w:val="en-US" w:eastAsia="zh-CN"/>
        </w:rPr>
        <w:t>100%验收查验</w:t>
      </w:r>
      <w:r>
        <w:rPr>
          <w:rFonts w:hint="eastAsia" w:ascii="仿宋_GB2312" w:eastAsia="仿宋_GB2312"/>
          <w:sz w:val="32"/>
          <w:szCs w:val="32"/>
        </w:rPr>
        <w:t>。重点检查工程布局、设计是否合理，外观质量是否达到设计要求，各类工程规格、编号、位置是否</w:t>
      </w:r>
      <w:r>
        <w:rPr>
          <w:rFonts w:hint="eastAsia" w:ascii="仿宋_GB2312" w:eastAsia="仿宋_GB2312"/>
          <w:sz w:val="32"/>
          <w:szCs w:val="32"/>
          <w:lang w:eastAsia="zh-CN"/>
        </w:rPr>
        <w:t>与设计图、</w:t>
      </w:r>
      <w:r>
        <w:rPr>
          <w:rFonts w:hint="eastAsia" w:ascii="仿宋_GB2312" w:eastAsia="仿宋_GB2312"/>
          <w:sz w:val="32"/>
          <w:szCs w:val="32"/>
        </w:rPr>
        <w:t>竣工图一致，废旧建筑物拆除及建筑垃圾清理是否到位。</w:t>
      </w:r>
    </w:p>
    <w:p>
      <w:pPr>
        <w:ind w:firstLine="640" w:firstLineChars="200"/>
        <w:rPr>
          <w:rFonts w:ascii="仿宋_GB2312" w:eastAsia="仿宋_GB2312"/>
          <w:sz w:val="32"/>
          <w:szCs w:val="32"/>
        </w:rPr>
      </w:pPr>
      <w:r>
        <w:rPr>
          <w:rFonts w:hint="eastAsia" w:ascii="仿宋_GB2312" w:eastAsia="仿宋_GB2312"/>
          <w:sz w:val="32"/>
          <w:szCs w:val="32"/>
        </w:rPr>
        <w:t>(三)灌排设施。沟、渠</w:t>
      </w:r>
      <w:r>
        <w:rPr>
          <w:rFonts w:hint="eastAsia" w:ascii="仿宋_GB2312" w:eastAsia="仿宋_GB2312"/>
          <w:sz w:val="32"/>
          <w:szCs w:val="32"/>
          <w:lang w:eastAsia="zh-CN"/>
        </w:rPr>
        <w:t>、涵、闸等</w:t>
      </w:r>
      <w:r>
        <w:rPr>
          <w:rFonts w:hint="eastAsia" w:ascii="仿宋_GB2312" w:eastAsia="仿宋_GB2312"/>
          <w:sz w:val="32"/>
          <w:szCs w:val="32"/>
        </w:rPr>
        <w:t>数量是否按设计完成、质量是否达到设计</w:t>
      </w:r>
      <w:r>
        <w:rPr>
          <w:rFonts w:ascii="仿宋_GB2312" w:eastAsia="仿宋_GB2312"/>
          <w:sz w:val="32"/>
          <w:szCs w:val="32"/>
        </w:rPr>
        <w:t>要求</w:t>
      </w:r>
      <w:r>
        <w:rPr>
          <w:rFonts w:hint="eastAsia" w:ascii="仿宋_GB2312" w:eastAsia="仿宋_GB2312"/>
          <w:sz w:val="32"/>
          <w:szCs w:val="32"/>
        </w:rPr>
        <w:t>，堆土是否平整、标准，排涝沟是否平直、通畅、相互贯通；管灌工程查验，水源建筑物（灌溉站）</w:t>
      </w:r>
      <w:r>
        <w:rPr>
          <w:rFonts w:hint="eastAsia" w:ascii="仿宋_GB2312" w:eastAsia="仿宋_GB2312"/>
          <w:sz w:val="32"/>
          <w:szCs w:val="32"/>
          <w:lang w:val="en-US" w:eastAsia="zh-CN"/>
        </w:rPr>
        <w:t>100%验收查验</w:t>
      </w:r>
      <w:r>
        <w:rPr>
          <w:rFonts w:hint="eastAsia" w:ascii="仿宋_GB2312" w:eastAsia="仿宋_GB2312"/>
          <w:sz w:val="32"/>
          <w:szCs w:val="32"/>
        </w:rPr>
        <w:t>，查验每个水源建筑物控制的管道、出水口及水源建筑物提供动力的输配电线路等等。</w:t>
      </w:r>
    </w:p>
    <w:p>
      <w:pPr>
        <w:ind w:firstLine="640" w:firstLineChars="200"/>
        <w:rPr>
          <w:rFonts w:ascii="仿宋_GB2312" w:eastAsia="仿宋_GB2312"/>
          <w:sz w:val="32"/>
          <w:szCs w:val="32"/>
        </w:rPr>
      </w:pPr>
      <w:r>
        <w:rPr>
          <w:rFonts w:hint="eastAsia" w:ascii="仿宋_GB2312" w:eastAsia="仿宋_GB2312"/>
          <w:sz w:val="32"/>
          <w:szCs w:val="32"/>
        </w:rPr>
        <w:t>(四) 机耕路</w:t>
      </w:r>
      <w:r>
        <w:rPr>
          <w:rFonts w:hint="eastAsia" w:ascii="仿宋_GB2312" w:eastAsia="仿宋_GB2312"/>
          <w:sz w:val="32"/>
          <w:szCs w:val="32"/>
          <w:lang w:eastAsia="zh-CN"/>
        </w:rPr>
        <w:t>（桥）</w:t>
      </w:r>
      <w:r>
        <w:rPr>
          <w:rFonts w:hint="eastAsia" w:ascii="仿宋_GB2312" w:eastAsia="仿宋_GB2312"/>
          <w:sz w:val="32"/>
          <w:szCs w:val="32"/>
        </w:rPr>
        <w:t>。核查路</w:t>
      </w:r>
      <w:r>
        <w:rPr>
          <w:rFonts w:hint="eastAsia" w:ascii="仿宋_GB2312" w:eastAsia="仿宋_GB2312"/>
          <w:sz w:val="32"/>
          <w:szCs w:val="32"/>
          <w:lang w:eastAsia="zh-CN"/>
        </w:rPr>
        <w:t>（桥）</w:t>
      </w:r>
      <w:r>
        <w:rPr>
          <w:rFonts w:hint="eastAsia" w:ascii="仿宋_GB2312" w:eastAsia="仿宋_GB2312"/>
          <w:sz w:val="32"/>
          <w:szCs w:val="32"/>
        </w:rPr>
        <w:t>面、路基的宽度、厚度和长度、平整度、分缝等是否按设计图纸和标准完成，有无损毁现象。</w:t>
      </w:r>
    </w:p>
    <w:p>
      <w:pPr>
        <w:ind w:firstLine="640" w:firstLineChars="200"/>
        <w:rPr>
          <w:rFonts w:ascii="仿宋_GB2312" w:eastAsia="仿宋_GB2312"/>
          <w:sz w:val="32"/>
          <w:szCs w:val="32"/>
        </w:rPr>
      </w:pPr>
      <w:r>
        <w:rPr>
          <w:rFonts w:hint="eastAsia" w:ascii="仿宋_GB2312" w:eastAsia="仿宋_GB2312"/>
          <w:sz w:val="32"/>
          <w:szCs w:val="32"/>
        </w:rPr>
        <w:t>(五) 农田防护林。按竣工图和竣工表随机抽查农田林网网格或林带，逐棵数出栽植的苗木数量和保存数量，计算出保存率和成活率，并评价栽植标准、整齐度和林相。</w:t>
      </w:r>
    </w:p>
    <w:p>
      <w:pPr>
        <w:ind w:firstLine="640" w:firstLineChars="200"/>
        <w:rPr>
          <w:rFonts w:ascii="仿宋_GB2312" w:eastAsia="仿宋_GB2312"/>
          <w:sz w:val="32"/>
          <w:szCs w:val="32"/>
        </w:rPr>
      </w:pPr>
      <w:r>
        <w:rPr>
          <w:rFonts w:hint="eastAsia" w:ascii="仿宋_GB2312" w:eastAsia="仿宋_GB2312"/>
          <w:sz w:val="32"/>
          <w:szCs w:val="32"/>
        </w:rPr>
        <w:t>(六)项目公示。查看项目区公示牌标准和具体内容是否符合要求。</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三、财务核查要点</w:t>
      </w:r>
    </w:p>
    <w:p>
      <w:pPr>
        <w:ind w:firstLine="640" w:firstLineChars="200"/>
        <w:rPr>
          <w:rFonts w:ascii="仿宋_GB2312" w:eastAsia="仿宋_GB2312"/>
          <w:sz w:val="32"/>
          <w:szCs w:val="32"/>
        </w:rPr>
      </w:pPr>
      <w:r>
        <w:rPr>
          <w:rFonts w:hint="eastAsia" w:ascii="仿宋_GB2312" w:eastAsia="仿宋_GB2312"/>
          <w:sz w:val="32"/>
          <w:szCs w:val="32"/>
        </w:rPr>
        <w:t>按项目资金管理规定核查，必要时要深入项目区现场核对。</w:t>
      </w:r>
    </w:p>
    <w:p>
      <w:pPr>
        <w:ind w:firstLine="640" w:firstLineChars="200"/>
        <w:rPr>
          <w:rFonts w:ascii="仿宋_GB2312" w:eastAsia="仿宋_GB2312"/>
          <w:sz w:val="32"/>
          <w:szCs w:val="32"/>
        </w:rPr>
      </w:pPr>
      <w:r>
        <w:rPr>
          <w:rFonts w:hint="eastAsia" w:ascii="仿宋_GB2312" w:eastAsia="仿宋_GB2312"/>
          <w:sz w:val="32"/>
          <w:szCs w:val="32"/>
        </w:rPr>
        <w:t>（一）检查资金到位情况：要求各类资金要及时足额到位，重点核查地方配套资金到位情况，严防空转配套现象。</w:t>
      </w:r>
    </w:p>
    <w:p>
      <w:pPr>
        <w:ind w:firstLine="640" w:firstLineChars="200"/>
        <w:rPr>
          <w:rFonts w:ascii="仿宋_GB2312" w:eastAsia="仿宋_GB2312"/>
          <w:sz w:val="32"/>
          <w:szCs w:val="32"/>
        </w:rPr>
      </w:pPr>
      <w:r>
        <w:rPr>
          <w:rFonts w:hint="eastAsia" w:ascii="仿宋_GB2312" w:eastAsia="仿宋_GB2312"/>
          <w:sz w:val="32"/>
          <w:szCs w:val="32"/>
        </w:rPr>
        <w:t>（二）检查资金的支付、决算进度和资金使用情况：检查计划批复的执行及资金使用情况，重点检查有无擅自调整、挤占挪用等违规现象及财政资金报账程序、手续的规范性。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（三）账务处理情况：一是检查科目使用的规范性；二是核查明细账设置情况</w:t>
      </w:r>
      <w:r>
        <w:rPr>
          <w:rFonts w:hint="eastAsia" w:ascii="仿宋_GB2312" w:eastAsia="仿宋_GB2312"/>
          <w:sz w:val="32"/>
          <w:szCs w:val="32"/>
          <w:lang w:eastAsia="zh-CN"/>
        </w:rPr>
        <w:t>等</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（四）逐笔审核审计中发现问题的整改落实情况。</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四、财政资金报账必备的财务手续：</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（一）土建工程类。批复文件、开工报</w:t>
      </w:r>
      <w:r>
        <w:rPr>
          <w:rFonts w:hint="eastAsia" w:ascii="仿宋_GB2312" w:hAnsi="宋体" w:eastAsia="仿宋_GB2312" w:cs="宋体"/>
          <w:kern w:val="0"/>
          <w:sz w:val="32"/>
          <w:szCs w:val="32"/>
        </w:rPr>
        <w:t>告、</w:t>
      </w:r>
      <w:r>
        <w:rPr>
          <w:rFonts w:hint="eastAsia" w:ascii="仿宋_GB2312" w:eastAsia="仿宋_GB2312"/>
          <w:sz w:val="32"/>
          <w:szCs w:val="32"/>
        </w:rPr>
        <w:t>申请表、工程量清单、</w:t>
      </w:r>
      <w:r>
        <w:rPr>
          <w:rFonts w:hint="eastAsia" w:ascii="仿宋_GB2312" w:hAnsi="宋体" w:eastAsia="仿宋_GB2312" w:cs="宋体"/>
          <w:kern w:val="0"/>
          <w:sz w:val="32"/>
          <w:szCs w:val="32"/>
        </w:rPr>
        <w:t>发票、承包合同、工程竣工决算，招标工程还必须提供中标通知书，需要审计的要附审计报告。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（二）物货类。招标类：申请书、中标通知书、购销合同、发票、验收单、发放领收手续。非招标类：合同、申请书、发票、验收单、发放领收手续等。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（三）服务类。科技示范：申请书、合同、发票、实施方案，验收单、领用单、实施总结。培训：申请书、合同、发票、会议通知、签到簿、讲课费领条、培训方案等。</w:t>
      </w:r>
    </w:p>
    <w:p>
      <w:pPr>
        <w:spacing w:line="600" w:lineRule="exact"/>
        <w:ind w:firstLine="640" w:firstLineChars="200"/>
        <w:rPr>
          <w:rFonts w:ascii="仿宋_GB2312" w:hAnsi="宋体" w:eastAsia="仿宋_GB2312" w:cs="宋体"/>
          <w:kern w:val="0"/>
          <w:sz w:val="32"/>
          <w:szCs w:val="32"/>
        </w:rPr>
      </w:pPr>
    </w:p>
    <w:tbl>
      <w:tblPr>
        <w:tblStyle w:val="3"/>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784"/>
        <w:gridCol w:w="132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00" w:type="dxa"/>
            <w:gridSpan w:val="4"/>
            <w:vMerge w:val="restart"/>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高标准农田建设项目验收检查要点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00" w:type="dxa"/>
            <w:gridSpan w:val="4"/>
            <w:vMerge w:val="continue"/>
            <w:tcBorders>
              <w:top w:val="nil"/>
              <w:left w:val="nil"/>
              <w:bottom w:val="nil"/>
              <w:right w:val="nil"/>
            </w:tcBorders>
            <w:noWrap w:val="0"/>
            <w:vAlign w:val="center"/>
          </w:tcPr>
          <w:p>
            <w:pPr>
              <w:widowControl/>
              <w:jc w:val="left"/>
              <w:rPr>
                <w:rFonts w:ascii="宋体" w:hAnsi="宋体" w:cs="宋体"/>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nil"/>
              <w:left w:val="nil"/>
              <w:bottom w:val="single" w:color="auto" w:sz="4" w:space="0"/>
              <w:right w:val="nil"/>
            </w:tcBorders>
            <w:noWrap w:val="0"/>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项目名称：</w:t>
            </w:r>
          </w:p>
        </w:tc>
        <w:tc>
          <w:tcPr>
            <w:tcW w:w="5866" w:type="dxa"/>
            <w:tcBorders>
              <w:top w:val="nil"/>
              <w:left w:val="nil"/>
              <w:bottom w:val="single" w:color="auto" w:sz="4" w:space="0"/>
              <w:right w:val="nil"/>
            </w:tcBorders>
            <w:noWrap w:val="0"/>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查验的关键环节和内容</w:t>
            </w:r>
          </w:p>
        </w:tc>
        <w:tc>
          <w:tcPr>
            <w:tcW w:w="1326" w:type="dxa"/>
            <w:tcBorders>
              <w:top w:val="nil"/>
              <w:left w:val="nil"/>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查验的关键问题</w:t>
            </w:r>
          </w:p>
        </w:tc>
        <w:tc>
          <w:tcPr>
            <w:tcW w:w="5866" w:type="dxa"/>
            <w:tcBorders>
              <w:top w:val="nil"/>
              <w:left w:val="nil"/>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检查核查的方式和方法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一、前期工作</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1、规划</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（1）无规划</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（2）不按规划申报项目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查档案，对照立项项目资料，看是否在规划范围内申报项目。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2、项目库管理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（1）无项目入库申报材料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查档案，看立项项目是否编制建议书或可行性研究报告。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（2）项目库动态维护差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查档案，看是否有入库批准文件，立项项目是否在项目库内，是否有入库公示。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（2）入库报告编制粗糙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查项目建议书或可行性研究报告，看是否有资质的单位编制；内容是否齐全；分析是否准确；提出的目标、措施是否合理。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（3）未征求农民意见</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查项目建议书或可行性研究报告，看是否有拟建项目村农民代表大会记录，有农民自愿实施项目、承诺自筹资金的意见签字表。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（4）乡镇积极性不高</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查申报材料，看项目是否有乡镇积极申请项目的报告，是否有积极配合项目实施的措施。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（5）未开展论证</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查评估材料，看项目是否有县农业农村局组织有关专家到项目现场考察的记录及入库评估论证报告。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w:t>
            </w:r>
            <w:r>
              <w:rPr>
                <w:rFonts w:hint="eastAsia" w:ascii="仿宋_GB2312" w:hAnsi="宋体" w:eastAsia="仿宋_GB2312" w:cs="宋体"/>
                <w:kern w:val="0"/>
                <w:sz w:val="22"/>
                <w:szCs w:val="22"/>
              </w:rPr>
              <w:t>、上图入库</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（1）上图入库前审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查档案资料，看项目规划前是否开展上图入库审核，是否与入库项目重叠。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二、计划管理</w:t>
            </w:r>
          </w:p>
        </w:tc>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1、初设编制审批</w:t>
            </w:r>
          </w:p>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（1）初设不规范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通过查看项目区工程布局，对照初步设计，看初设是否符合高标准农田相关政策。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2"/>
                <w:szCs w:val="22"/>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（2）初设编制粗糙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查初步设计，看是否有专业资质或能力的单位编制；工程配置是否合理，是否保证功能发挥；是否存在无工程概算，治理措施内容编制不细致、不全面，骨干工程无设计图，图表不一致等问题。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3</w:t>
            </w:r>
            <w:r>
              <w:rPr>
                <w:rFonts w:hint="eastAsia" w:ascii="仿宋_GB2312" w:hAnsi="宋体" w:eastAsia="仿宋_GB2312" w:cs="宋体"/>
                <w:kern w:val="0"/>
                <w:sz w:val="22"/>
                <w:szCs w:val="22"/>
              </w:rPr>
              <w:t>）审批不认真</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查审批文件，看审批程序是否到位，审批内容是否细致，形成的审批文件资料是否齐全、数据是否准确。是否开展评审论证。是否按照评审意见修改初步设计。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nil"/>
              <w:right w:val="single" w:color="auto" w:sz="4" w:space="0"/>
            </w:tcBorders>
            <w:noWrap w:val="0"/>
            <w:vAlign w:val="center"/>
          </w:tcPr>
          <w:p>
            <w:pPr>
              <w:widowControl/>
              <w:jc w:val="center"/>
              <w:rPr>
                <w:kern w:val="0"/>
                <w:sz w:val="22"/>
                <w:szCs w:val="22"/>
              </w:rPr>
            </w:pPr>
            <w:r>
              <w:rPr>
                <w:kern w:val="0"/>
                <w:sz w:val="22"/>
                <w:szCs w:val="22"/>
              </w:rPr>
              <w:t>2</w:t>
            </w:r>
            <w:r>
              <w:rPr>
                <w:rFonts w:hint="eastAsia" w:ascii="仿宋_GB2312" w:eastAsia="仿宋_GB2312"/>
                <w:kern w:val="0"/>
                <w:sz w:val="22"/>
                <w:szCs w:val="22"/>
              </w:rPr>
              <w:t>、计划执行和调整</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（1）工程变更大</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查调整资料，对照初设和批复，是否严格按批复计划执行，计算调整面（除招标</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再安排外，超计划的15%为调整面大）；看项目工程，查是否有工程未严格按计划批复和设计图纸施工。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left w:val="nil"/>
              <w:bottom w:val="single" w:color="auto" w:sz="4" w:space="0"/>
              <w:right w:val="single" w:color="auto" w:sz="4" w:space="0"/>
            </w:tcBorders>
            <w:noWrap w:val="0"/>
            <w:vAlign w:val="center"/>
          </w:tcPr>
          <w:p>
            <w:pPr>
              <w:widowControl/>
              <w:jc w:val="center"/>
              <w:rPr>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2</w:t>
            </w:r>
            <w:r>
              <w:rPr>
                <w:rFonts w:hint="eastAsia" w:ascii="仿宋_GB2312" w:hAnsi="宋体" w:eastAsia="仿宋_GB2312" w:cs="宋体"/>
                <w:kern w:val="0"/>
                <w:sz w:val="22"/>
                <w:szCs w:val="22"/>
              </w:rPr>
              <w:t>）调整无报批</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查审批文件、合同及</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资金报批材料等、对现场，看招标</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资金和调整的建设内容是否按管理权限履行调整报批手续。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kern w:val="0"/>
                <w:sz w:val="22"/>
                <w:szCs w:val="22"/>
              </w:rPr>
            </w:pPr>
            <w:r>
              <w:rPr>
                <w:kern w:val="0"/>
                <w:sz w:val="22"/>
                <w:szCs w:val="22"/>
              </w:rPr>
              <w:t>3</w:t>
            </w:r>
            <w:r>
              <w:rPr>
                <w:rFonts w:hint="eastAsia" w:ascii="仿宋_GB2312" w:eastAsia="仿宋_GB2312"/>
                <w:kern w:val="0"/>
                <w:sz w:val="22"/>
                <w:szCs w:val="22"/>
              </w:rPr>
              <w:t>、完成进度</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（1）进度慢、完成率低</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查验收统计，对照计划计算进度；查项目工程查验收统计是否真实；根据合同、申验报告和现场查看，项目进度是否超出上级文件要求。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三、建设管理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1、招标采购</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（1）招标方案未进行前审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查档案，看项目招标工作方案是否按要求审查备案。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（2）应招未招</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查招标资料，对照初步设计，看公开招标采购面，有无应招未招工程。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（3）标段划分不合理</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查招标资料，看有无标段划分过多，单个标段招标金额过小，存在人为拆分等现象。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（4）招标不规范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查招标资料，看是否实行代理招标；检查招投文件编制、投标单位前审、招标公告发布、招标资料归档等不完善的问题。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（5）评标不规范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查评标资料，看评标人数、评标方法、评标程序、评标报告是否存在不规范。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（6）有虚假招标等现象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对照招标书、投标书、评标资料，辨别是否有虚假招标、串标。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2、合同管理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（1）合同不齐全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查档案，对照批复，看合同是否齐全。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（2）合同签订不规范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查合同，看合同内容是否详细，合同未附工程明细表等。特别违规责任条款不明确、不具体。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（3）合同执行不严格</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查看工程，对照竣工决算书、财务报账资料，看施工是否履行合同，重点是查工期、资金拨付、履约责任等是否按合同执行。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3、施工管理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（1）施工资料不齐全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施工资料（含项目开工、中期和完工报告，施工日志，工程质量事故与处理报告，施工技术总结，进度控制报告；施工质量验收和隐蔽工程施工记录，变更设计、图纸、批复等）是否齐全；对照资金支付资料看是否存在分包、转包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（2）农业农村部门监管不到位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查档案，看农业农村部门现场查验记录是否详细、到位。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4、监理工作</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（1）监理未按要求招标</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查档案，看监理是否招标，由谁招标;监理单位是否具备专业资质，现场监理人员数量和职称等是否符合要求。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（2）监理不到位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监理资料，看监理驻点时间是否到位，监理日志是否详实，施工工序及进度有无监管，材料性能、工程取样检测监理有无把关，隐蔽工程建设是否有影像记录、签证，工程变更有无监理认证、说明，有无发现施工问题的记录，发现的问题有无及时制止和纠正，单项工程的完成质量有无认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（3）监理资料不齐</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监理资料包括：监理规划、监理合同、监理实施细则、监理日志、质量评定表、材料性能试验报告、工程进度旬或周报、变更建议、变更批复、监理报告、监理总结等资料是否齐全。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5、项目公示</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（1）公示制不落实</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查档案，看是否有项目申报、初设建设内容、验收的公示记录，是否存在公示不具体、不完整、不准确情况，是否公示了群众监督举报电话、联系人、联系单位等。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（2）缺项目标志、标牌、工程编号</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实地检查项目工程标志、标牌、工程编号，项目区公示牌，看公示内容是否完整规范。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四、质量管理</w:t>
            </w: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1、工程数量</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（1）工程与项目实施计划、初步设计不符</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项目实施计划与初步设计批复、规划图、竣工图、竣工表，对照单项工程编号，到实地对项目区和工程进行抽查。具体要对照图表，随机抽查（重点工程全面查、面上工程不低于30%查），逐一核对，清点数量；对机耕路、硬化渠道、桥梁、井等工程，要进行现场测量，看是否存在超标准、超范围安排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2、工程质量</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（1）工程质量差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依据初步设计及设计图纸，一是查看项目工程的外观是否存在断裂、塌陷等明显的质量问题；二是访问镇村干部和群众，有无质量投诉，投诉问题是否解决;三是检查档案，看是否有主要建筑材料的检测报告，是否有工程检测机构出具的各单项建筑工程混凝土或钢筋混凝土强度无损检测（回弹）报告；四是现场检测，必要时可进行开挖、敲击等，看工程规格、强度是否达标;站、井运转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五、资金管理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1、资金投入</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（1）财政资金投入不足</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检查市、县级年度预算是否足额安排了高标准农田建设财政资金。关键是检查市、县两级资金是否按国家、省有关规定执行。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（2）自筹资金投入</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自筹资金投入是否严格执行国家和省有关政策规定。要通过检查自筹资金入账的原始凭证等验证其是否真实。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2、资金安排与使用</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（1）资金安排使用不当</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对照高标准农田建设项目资金使用范围和标准，查是否存在超范围、超标准安排使用财政资金；同时查是否存在应安排、应使用而不安排、不使用的情况。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（2）挤占挪用资金</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项目资金拨付给与项目实施无关的单位使用；通过比对项目资金实际收款方与项目计划批复、有关合同等。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3、资金支付</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（1）支付审批手续不合规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主要是检查资金支付中每个环节是否按合同和财务规定审核、审批。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（2）支付重要附件不合规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附件是否齐全（税票、资金支付申请表及审批表、工程量清单、验收单、货物分发表、货物领用花名册等）；检查发票是否为正规税务发票，上网核实发票。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（3）支付不合规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检查项目资金是否拨付个人账户；项目资金是否拨付非中标单位；是否超合同价款拨付项目资金。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（4）支付进度慢</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是否按政策制度和合同文件等规定支付。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4、资金政策执行</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（1）执行报账制不彻底</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检查项目资金是否直接拨付项目实施单位。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（2）“三专”管理不到位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检查高标准农田建设资金是否专人管理、专账核算、专款专用。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（3）竣工决算审计不及时、流于形式</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检查项目工程是否及时办理决算审计，决算审计机构是否有资质；竣工决算审计价与送审价是否相同或相差很少。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5、资金政策执行</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（4）现金支付</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检查是否有现金支付。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（5）不执行会计电算化</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检查高标准农田建设资金会计核算及凭证，是否为电子账及电子打印凭证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（6）内部控制不严格</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存在出纳、主办一人兼任，检查拨款与记账是否同一人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六、验收管理</w:t>
            </w: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1、单项验收</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（1）未进行单项工程验收</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查档案，看是否有单项工程验收资料。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2、工程移交</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（1）工程未移交或手续不全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查档案，看是否有竣工工程移交资料，工程移交清单、固定资产认定、变动和处置资料等是否齐全。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3、建后管护</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（1）管护制度不健全、管护责任不落实</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实地察看项目工程，是否有管护牌，管护制度和管护人员是否落实。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（2）管护不到位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实地察看项目工程，验收项目区建筑物，如沟渠、道路、树木等是否有损毁等现象。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4、县级验收</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（1）县级验收准备不充分</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查档案，看有无县级对单项工程竣工的验收资料，是否存在验收资料不齐全情况（验收报告、资金管理报告、竣工图、单项工程竣工表、验收统计表等）。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（2）检查验收整改不到位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查项目工程及档案，对照上级历次检查意见、报告，看整改是否到位。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5、监督审计</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（1）监督审计问题整改不到位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查项目工程及档案，对照审计报告，看审计监督整改问题是否到位。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七、档案管理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1、档案管理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（1）归类不合规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查档案，看档案是否按上级文件规定归类整理目录、编号、装订、装盒、入库。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（2）整理不齐全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查档案，看档案是否齐全，有无漏项、缺项。</w:t>
            </w:r>
          </w:p>
        </w:tc>
      </w:tr>
    </w:tbl>
    <w:p/>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附件3</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评分细则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578"/>
        <w:gridCol w:w="1500"/>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序号</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评分项目</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分值</w:t>
            </w:r>
          </w:p>
        </w:tc>
        <w:tc>
          <w:tcPr>
            <w:tcW w:w="4767" w:type="dxa"/>
          </w:tcPr>
          <w:p>
            <w:pPr>
              <w:tabs>
                <w:tab w:val="left" w:pos="1143"/>
              </w:tabs>
              <w:bidi w:val="0"/>
              <w:ind w:firstLine="1680" w:firstLineChars="6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投标报价</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（1）满足比选文件要求投标价格不超于最高限价。</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（2）报价最低的企业得10分，次低的得9分，第三名8分，依次类推。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企业实力</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（1）投标人有水利施工总承包叁级以上（含三级）资质得10分。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（2）投标人有测绘资质得10分。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（3）投标人有设计资质证书的且内容包含水利专业设计、公路专业设计的得10分。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人员配置</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拟为本项目配备的项目团队人员中具有农业水利、水利工程师或造价师，每提供1个得5分，最高得20分。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注：须提供上述相关证书复印件或扫描件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能力验证</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2020年以来有过高标准农田验收服务的或设计服务的（以合同扫描件为准）。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每提供一个业绩得分10分满分20。</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5</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服务方案</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提供本次验收的服务方案评委会按以下标准打分：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优秀：14-20分；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良好：6-13分；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一般：0-5分；</w:t>
            </w:r>
          </w:p>
        </w:tc>
      </w:tr>
    </w:tbl>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附件4</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883" w:firstLineChars="2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淮南市2023年度高标准农田建设项目</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竣工验收报价函</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致：淮南市农业农村局：</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一、本报价人对委托方询价文件的各项内容已明了，并完全同意。</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二、本单位详细阅读了询价函后，报价人民币（大写）</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元。</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三、一旦本单位被确定为中选人，将在合同签订后即展开工作，并根据询价文件要求在约定时限内完成该项工作。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四、本单位知道并同意：如果被确定为中选人后未按委托方要求的时间签订正式合同，或因其他原因未开展工作，委托方有权选择其他机构为中选人并依法追究相关责任。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五、本单位知道同时也理解，委托方不负担任何参与询价及比选费用。</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7280" w:firstLineChars="260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column">
                  <wp:posOffset>3513455</wp:posOffset>
                </wp:positionH>
                <wp:positionV relativeFrom="paragraph">
                  <wp:posOffset>327660</wp:posOffset>
                </wp:positionV>
                <wp:extent cx="977900" cy="0"/>
                <wp:effectExtent l="0" t="6350" r="0" b="6350"/>
                <wp:wrapNone/>
                <wp:docPr id="3" name="直接连接符 3"/>
                <wp:cNvGraphicFramePr/>
                <a:graphic xmlns:a="http://schemas.openxmlformats.org/drawingml/2006/main">
                  <a:graphicData uri="http://schemas.microsoft.com/office/word/2010/wordprocessingShape">
                    <wps:wsp>
                      <wps:cNvCnPr/>
                      <wps:spPr>
                        <a:xfrm>
                          <a:off x="4226560" y="7581900"/>
                          <a:ext cx="9779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6.65pt;margin-top:25.8pt;height:0pt;width:77pt;z-index:251659264;mso-width-relative:page;mso-height-relative:page;" filled="f" stroked="t" coordsize="21600,21600" o:gfxdata="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wWJ&#10;ttgAAAAJAQAADwAAAAAAAAABACAAAAA4AAAAZHJzL2Rvd25yZXYueG1sUEsBAhQAFAAAAAgAh07i&#10;QGjZ6xTTAQAAbwMAAA4AAAAAAAAAAQAgAAAAPQEAAGRycy9lMm9Eb2MueG1sUEsFBgAAAAAGAAYA&#10;WQEAAIIFAA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：（加盖公章）</w:t>
      </w:r>
    </w:p>
    <w:p>
      <w:pPr>
        <w:tabs>
          <w:tab w:val="left" w:pos="1143"/>
        </w:tabs>
        <w:bidi w:val="0"/>
        <w:ind w:firstLine="3360" w:firstLineChars="1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法定代表人或其委托代理人：         签章</w:t>
      </w:r>
    </w:p>
    <w:p>
      <w:pPr>
        <w:tabs>
          <w:tab w:val="left" w:pos="1143"/>
        </w:tabs>
        <w:bidi w:val="0"/>
        <w:ind w:firstLine="3360" w:firstLineChars="12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年  月  日</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附件5</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法定代表人身份证明</w:t>
      </w:r>
    </w:p>
    <w:p>
      <w:pPr>
        <w:tabs>
          <w:tab w:val="left" w:pos="1143"/>
        </w:tabs>
        <w:bidi w:val="0"/>
        <w:jc w:val="center"/>
        <w:rPr>
          <w:rFonts w:hint="eastAsia" w:ascii="仿宋" w:hAnsi="仿宋" w:eastAsia="仿宋" w:cs="仿宋"/>
          <w:b/>
          <w:bCs/>
          <w:kern w:val="2"/>
          <w:sz w:val="40"/>
          <w:szCs w:val="40"/>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261620</wp:posOffset>
                </wp:positionV>
                <wp:extent cx="4433570" cy="0"/>
                <wp:effectExtent l="0" t="6350" r="0" b="6350"/>
                <wp:wrapNone/>
                <wp:docPr id="4" name="直接连接符 4"/>
                <wp:cNvGraphicFramePr/>
                <a:graphic xmlns:a="http://schemas.openxmlformats.org/drawingml/2006/main">
                  <a:graphicData uri="http://schemas.microsoft.com/office/word/2010/wordprocessingShape">
                    <wps:wsp>
                      <wps:cNvCnPr/>
                      <wps:spPr>
                        <a:xfrm>
                          <a:off x="1793240" y="3157220"/>
                          <a:ext cx="443357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5.05pt;margin-top:20.6pt;height:0pt;width:349.1pt;z-index:251660288;mso-width-relative:page;mso-height-relative:page;" filled="f" stroked="t" coordsize="21600,21600" o:gfxdata="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dA&#10;7YrYAAAACQEAAA8AAAAAAAAAAQAgAAAAOAAAAGRycy9kb3ducmV2LnhtbFBLAQIUABQAAAAIAIdO&#10;4kAb8uR01AEAAHADAAAOAAAAAAAAAAEAIAAAAD0BAABkcnMvZTJvRG9jLnhtbFBLBQYAAAAABgAG&#10;AFkBAACDBQA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投标人名称：</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871855</wp:posOffset>
                </wp:positionH>
                <wp:positionV relativeFrom="paragraph">
                  <wp:posOffset>220345</wp:posOffset>
                </wp:positionV>
                <wp:extent cx="4629150" cy="5080"/>
                <wp:effectExtent l="0" t="0" r="0" b="0"/>
                <wp:wrapNone/>
                <wp:docPr id="5" name="直接连接符 5"/>
                <wp:cNvGraphicFramePr/>
                <a:graphic xmlns:a="http://schemas.openxmlformats.org/drawingml/2006/main">
                  <a:graphicData uri="http://schemas.microsoft.com/office/word/2010/wordprocessingShape">
                    <wps:wsp>
                      <wps:cNvCnPr/>
                      <wps:spPr>
                        <a:xfrm>
                          <a:off x="0" y="0"/>
                          <a:ext cx="4629150" cy="50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65pt;margin-top:17.35pt;height:0.4pt;width:364.5pt;z-index:251661312;mso-width-relative:page;mso-height-relative:page;" filled="f" stroked="t" coordsize="21600,21600" o:gfxdata="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r0WFtgAAAAJAQAA&#10;DwAAAAAAAAABACAAAAA4AAAAZHJzL2Rvd25yZXYueG1sUEsBAhQAFAAAAAgAh07iQMIxaj7KAQAA&#10;ZwMAAA4AAAAAAAAAAQAgAAAAPQEAAGRycy9lMm9Eb2MueG1sUEsFBgAAAAAGAAYAWQEAAHkFAAAA&#10;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单位性质：</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column">
                  <wp:posOffset>522605</wp:posOffset>
                </wp:positionH>
                <wp:positionV relativeFrom="paragraph">
                  <wp:posOffset>262255</wp:posOffset>
                </wp:positionV>
                <wp:extent cx="4982210" cy="3175"/>
                <wp:effectExtent l="0" t="0" r="0" b="0"/>
                <wp:wrapNone/>
                <wp:docPr id="6" name="直接连接符 6"/>
                <wp:cNvGraphicFramePr/>
                <a:graphic xmlns:a="http://schemas.openxmlformats.org/drawingml/2006/main">
                  <a:graphicData uri="http://schemas.microsoft.com/office/word/2010/wordprocessingShape">
                    <wps:wsp>
                      <wps:cNvCnPr/>
                      <wps:spPr>
                        <a:xfrm>
                          <a:off x="0" y="0"/>
                          <a:ext cx="4982210" cy="31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15pt;margin-top:20.65pt;height:0.25pt;width:392.3pt;z-index:251662336;mso-width-relative:page;mso-height-relative:page;" filled="f" stroked="t" coordsize="21600,21600" o:gfxdata="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AbqwPZAAAACAEA&#10;AA8AAAAAAAAAAQAgAAAAOAAAAGRycy9kb3ducmV2LnhtbFBLAQIUABQAAAAIAIdO4kA5e0LAygEA&#10;AGcDAAAOAAAAAAAAAAEAIAAAAD4BAABkcnMvZTJvRG9jLnhtbFBLBQYAAAAABgAGAFkBAAB6BQAA&#10;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地址：</w:t>
      </w: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成立时间：</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年</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月</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日</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column">
                  <wp:posOffset>868680</wp:posOffset>
                </wp:positionH>
                <wp:positionV relativeFrom="paragraph">
                  <wp:posOffset>231775</wp:posOffset>
                </wp:positionV>
                <wp:extent cx="4645025" cy="3175"/>
                <wp:effectExtent l="0" t="0" r="0" b="0"/>
                <wp:wrapNone/>
                <wp:docPr id="7" name="直接连接符 7"/>
                <wp:cNvGraphicFramePr/>
                <a:graphic xmlns:a="http://schemas.openxmlformats.org/drawingml/2006/main">
                  <a:graphicData uri="http://schemas.microsoft.com/office/word/2010/wordprocessingShape">
                    <wps:wsp>
                      <wps:cNvCnPr/>
                      <wps:spPr>
                        <a:xfrm>
                          <a:off x="0" y="0"/>
                          <a:ext cx="4645025" cy="31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4pt;margin-top:18.25pt;height:0.25pt;width:365.75pt;z-index:251663360;mso-width-relative:page;mso-height-relative:page;" filled="f" stroked="t" coordsize="21600,21600" o:gfxdata="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lgp6W2AAAAAkB&#10;AAAPAAAAAAAAAAEAIAAAADgAAABkcnMvZG93bnJldi54bWxQSwECFAAUAAAACACHTuJAS9fwDcwB&#10;AABnAwAADgAAAAAAAAABACAAAAA9AQAAZHJzL2Uyb0RvYy54bWxQSwUGAAAAAAYABgBZAQAAewUA&#10;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经营期限：</w:t>
      </w:r>
    </w:p>
    <w:p>
      <w:pPr>
        <w:tabs>
          <w:tab w:val="left" w:pos="1143"/>
        </w:tabs>
        <w:bidi w:val="0"/>
        <w:jc w:val="left"/>
        <w:rPr>
          <w:rFonts w:hint="default"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姓名：</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性别：</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年龄：</w:t>
      </w:r>
      <w:r>
        <w:rPr>
          <w:rFonts w:hint="eastAsia" w:ascii="仿宋" w:hAnsi="仿宋" w:eastAsia="仿宋" w:cs="仿宋"/>
          <w:kern w:val="2"/>
          <w:sz w:val="28"/>
          <w:szCs w:val="28"/>
          <w:u w:val="single"/>
          <w:lang w:val="en-US" w:eastAsia="zh-CN" w:bidi="ar-SA"/>
        </w:rPr>
        <w:t xml:space="preserve">           </w:t>
      </w: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职务：</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系：</w:t>
      </w:r>
      <w:r>
        <w:rPr>
          <w:rFonts w:hint="eastAsia" w:ascii="仿宋" w:hAnsi="仿宋" w:eastAsia="仿宋" w:cs="仿宋"/>
          <w:kern w:val="2"/>
          <w:sz w:val="28"/>
          <w:szCs w:val="28"/>
          <w:u w:val="single"/>
          <w:lang w:val="en-US" w:eastAsia="zh-CN" w:bidi="ar-SA"/>
        </w:rPr>
        <w:t xml:space="preserve">                 （投标人单位名称）</w:t>
      </w:r>
      <w:r>
        <w:rPr>
          <w:rFonts w:hint="eastAsia" w:ascii="仿宋" w:hAnsi="仿宋" w:eastAsia="仿宋" w:cs="仿宋"/>
          <w:kern w:val="2"/>
          <w:sz w:val="28"/>
          <w:szCs w:val="28"/>
          <w:lang w:val="en-US" w:eastAsia="zh-CN" w:bidi="ar-SA"/>
        </w:rPr>
        <w:t>的法定代表人。</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特此证明。</w:t>
      </w:r>
    </w:p>
    <w:p>
      <w:pPr>
        <w:tabs>
          <w:tab w:val="left" w:pos="1143"/>
        </w:tabs>
        <w:bidi w:val="0"/>
        <w:ind w:firstLine="5040" w:firstLineChars="1800"/>
        <w:jc w:val="left"/>
        <w:rPr>
          <w:rFonts w:hint="default"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投标人（盖法人章）：</w:t>
      </w:r>
      <w:r>
        <w:rPr>
          <w:rFonts w:hint="eastAsia" w:ascii="仿宋" w:hAnsi="仿宋" w:eastAsia="仿宋" w:cs="仿宋"/>
          <w:kern w:val="2"/>
          <w:sz w:val="28"/>
          <w:szCs w:val="28"/>
          <w:u w:val="single"/>
          <w:lang w:val="en-US" w:eastAsia="zh-CN" w:bidi="ar-SA"/>
        </w:rPr>
        <w:t xml:space="preserve">             </w:t>
      </w:r>
    </w:p>
    <w:p>
      <w:pPr>
        <w:tabs>
          <w:tab w:val="left" w:pos="1143"/>
        </w:tabs>
        <w:bidi w:val="0"/>
        <w:ind w:firstLine="5600" w:firstLineChars="20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日 期：年＿月</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日</w:t>
      </w:r>
      <w:r>
        <w:rPr>
          <w:rFonts w:hint="eastAsia" w:ascii="仿宋" w:hAnsi="仿宋" w:eastAsia="仿宋" w:cs="仿宋"/>
          <w:kern w:val="2"/>
          <w:sz w:val="28"/>
          <w:szCs w:val="28"/>
          <w:u w:val="single"/>
          <w:lang w:val="en-US" w:eastAsia="zh-CN" w:bidi="ar-SA"/>
        </w:rPr>
        <w:t xml:space="preserve">   </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附件6</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服务方案</w:t>
      </w:r>
    </w:p>
    <w:p>
      <w:pPr>
        <w:tabs>
          <w:tab w:val="left" w:pos="1143"/>
        </w:tabs>
        <w:bidi w:val="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（由投标人根据评审办法考核项目自行确定，格式自拟）</w:t>
      </w:r>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TBkMjg1MDcwOGE0MDljNjkwNDFhYjg1ZWFiMTgifQ=="/>
  </w:docVars>
  <w:rsids>
    <w:rsidRoot w:val="2B936424"/>
    <w:rsid w:val="00DE2D1A"/>
    <w:rsid w:val="089B0318"/>
    <w:rsid w:val="0FED1DC9"/>
    <w:rsid w:val="2B936424"/>
    <w:rsid w:val="4B201424"/>
    <w:rsid w:val="4C6A532F"/>
    <w:rsid w:val="53BA416A"/>
    <w:rsid w:val="6E9FA7B6"/>
    <w:rsid w:val="6F7D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等线 Light" w:hAnsi="等线 Light" w:eastAsia="黑体"/>
      <w:b/>
      <w:bCs/>
      <w:snapToGrid/>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10235</Words>
  <Characters>10647</Characters>
  <Lines>0</Lines>
  <Paragraphs>0</Paragraphs>
  <TotalTime>20</TotalTime>
  <ScaleCrop>false</ScaleCrop>
  <LinksUpToDate>false</LinksUpToDate>
  <CharactersWithSpaces>10836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2024-05-23T16:48:00Z</dcterms:created>
  <dc:creator>☀☀☀☀☀</dc:creator>
  <cp:lastModifiedBy>uos</cp:lastModifiedBy>
  <cp:lastPrinted>2024-05-23T19:07:00Z</cp:lastPrinted>
  <dcterms:modified xsi:type="dcterms:W3CDTF">2024-05-28T16:25:24Z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E8BB9F56E79245EB8DF3A6269A6E2274_13</vt:lpwstr>
  </property>
</Properties>
</file>