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adjustRightInd w:val="0"/>
        <w:snapToGrid w:val="0"/>
        <w:jc w:val="left"/>
        <w:rPr>
          <w:rFonts w:hint="eastAsia" w:ascii="宋体" w:hAnsi="宋体" w:cs="宋体"/>
          <w:color w:val="auto"/>
          <w:highlight w:val="none"/>
          <w:lang w:val="en-US" w:eastAsia="zh-CN"/>
        </w:rPr>
      </w:pPr>
      <w:bookmarkStart w:id="0" w:name="_Toc430438699"/>
      <w:bookmarkStart w:id="1" w:name="_Toc38899128"/>
      <w:bookmarkStart w:id="2" w:name="_Toc456249637"/>
      <w:bookmarkStart w:id="3" w:name="_Toc382508379"/>
      <w:bookmarkStart w:id="4" w:name="_Toc456249439"/>
      <w:bookmarkStart w:id="5" w:name="_Toc407096145"/>
      <w:bookmarkStart w:id="6" w:name="_Toc220232390"/>
      <w:r>
        <w:rPr>
          <w:rFonts w:hint="eastAsia" w:ascii="宋体" w:hAnsi="宋体" w:cs="宋体"/>
          <w:color w:val="auto"/>
          <w:highlight w:val="none"/>
          <w:lang w:eastAsia="zh-CN"/>
        </w:rPr>
        <w:t>附件</w:t>
      </w:r>
      <w:r>
        <w:rPr>
          <w:rFonts w:hint="eastAsia" w:ascii="宋体" w:hAnsi="宋体" w:cs="宋体"/>
          <w:color w:val="auto"/>
          <w:highlight w:val="none"/>
          <w:lang w:val="en-US" w:eastAsia="zh-CN"/>
        </w:rPr>
        <w:t>1：</w:t>
      </w:r>
    </w:p>
    <w:p>
      <w:pPr>
        <w:pStyle w:val="7"/>
        <w:shd w:val="clear"/>
        <w:adjustRightInd w:val="0"/>
        <w:snapToGrid w:val="0"/>
        <w:jc w:val="center"/>
        <w:rPr>
          <w:rFonts w:ascii="宋体" w:hAnsi="宋体" w:cs="宋体"/>
          <w:color w:val="auto"/>
          <w:sz w:val="36"/>
          <w:highlight w:val="none"/>
        </w:rPr>
      </w:pPr>
      <w:r>
        <w:rPr>
          <w:rFonts w:hint="eastAsia" w:ascii="宋体" w:hAnsi="宋体" w:cs="宋体"/>
          <w:color w:val="auto"/>
          <w:highlight w:val="none"/>
        </w:rPr>
        <w:t>谈判须知前附表</w:t>
      </w:r>
      <w:bookmarkEnd w:id="0"/>
      <w:bookmarkEnd w:id="1"/>
      <w:bookmarkEnd w:id="2"/>
      <w:bookmarkEnd w:id="3"/>
      <w:bookmarkEnd w:id="4"/>
    </w:p>
    <w:tbl>
      <w:tblPr>
        <w:tblStyle w:val="51"/>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2494"/>
        <w:gridCol w:w="5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662" w:type="dxa"/>
            <w:shd w:val="clear" w:color="auto" w:fill="D7D7D7" w:themeFill="background1" w:themeFillShade="D8"/>
            <w:vAlign w:val="center"/>
          </w:tcPr>
          <w:p>
            <w:pPr>
              <w:shd w:val="clear"/>
              <w:adjustRightInd w:val="0"/>
              <w:snapToGrid w:val="0"/>
              <w:spacing w:before="120" w:beforeLines="50" w:line="360" w:lineRule="auto"/>
              <w:jc w:val="center"/>
              <w:rPr>
                <w:rFonts w:ascii="宋体" w:hAnsi="宋体" w:cs="宋体"/>
                <w:b/>
                <w:color w:val="auto"/>
                <w:highlight w:val="none"/>
              </w:rPr>
            </w:pPr>
            <w:r>
              <w:rPr>
                <w:rFonts w:hint="eastAsia" w:ascii="宋体" w:hAnsi="宋体" w:cs="宋体"/>
                <w:b/>
                <w:color w:val="auto"/>
                <w:highlight w:val="none"/>
              </w:rPr>
              <w:t>序号</w:t>
            </w:r>
          </w:p>
        </w:tc>
        <w:tc>
          <w:tcPr>
            <w:tcW w:w="2494" w:type="dxa"/>
            <w:shd w:val="clear" w:color="auto" w:fill="D7D7D7" w:themeFill="background1" w:themeFillShade="D8"/>
            <w:vAlign w:val="center"/>
          </w:tcPr>
          <w:p>
            <w:pPr>
              <w:shd w:val="clear"/>
              <w:adjustRightInd w:val="0"/>
              <w:snapToGrid w:val="0"/>
              <w:spacing w:before="120" w:beforeLines="50" w:line="360" w:lineRule="auto"/>
              <w:jc w:val="center"/>
              <w:rPr>
                <w:rFonts w:ascii="宋体" w:hAnsi="宋体" w:cs="宋体"/>
                <w:b/>
                <w:color w:val="auto"/>
                <w:highlight w:val="none"/>
              </w:rPr>
            </w:pPr>
            <w:r>
              <w:rPr>
                <w:rFonts w:hint="eastAsia" w:ascii="宋体" w:hAnsi="宋体" w:cs="宋体"/>
                <w:b/>
                <w:color w:val="auto"/>
                <w:highlight w:val="none"/>
              </w:rPr>
              <w:t>条款名称</w:t>
            </w:r>
          </w:p>
        </w:tc>
        <w:tc>
          <w:tcPr>
            <w:tcW w:w="5770" w:type="dxa"/>
            <w:shd w:val="clear" w:color="auto" w:fill="D7D7D7" w:themeFill="background1" w:themeFillShade="D8"/>
            <w:vAlign w:val="center"/>
          </w:tcPr>
          <w:p>
            <w:pPr>
              <w:shd w:val="clear"/>
              <w:adjustRightInd w:val="0"/>
              <w:snapToGrid w:val="0"/>
              <w:spacing w:before="120" w:beforeLines="50" w:line="360" w:lineRule="auto"/>
              <w:jc w:val="center"/>
              <w:rPr>
                <w:rFonts w:ascii="宋体" w:hAnsi="宋体" w:cs="宋体"/>
                <w:b/>
                <w:color w:val="auto"/>
                <w:highlight w:val="none"/>
              </w:rPr>
            </w:pPr>
            <w:r>
              <w:rPr>
                <w:rFonts w:hint="eastAsia" w:ascii="宋体" w:hAnsi="宋体" w:cs="宋体"/>
                <w:b/>
                <w:color w:val="auto"/>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62" w:type="dxa"/>
            <w:vAlign w:val="center"/>
          </w:tcPr>
          <w:p>
            <w:pPr>
              <w:shd w:val="clear"/>
              <w:adjustRightInd w:val="0"/>
              <w:snapToGrid w:val="0"/>
              <w:spacing w:before="120" w:beforeLines="50" w:line="360" w:lineRule="auto"/>
              <w:jc w:val="center"/>
              <w:rPr>
                <w:rFonts w:ascii="宋体" w:hAnsi="宋体" w:cs="宋体"/>
                <w:color w:val="auto"/>
                <w:highlight w:val="none"/>
              </w:rPr>
            </w:pPr>
            <w:r>
              <w:rPr>
                <w:rFonts w:hint="eastAsia" w:ascii="宋体" w:hAnsi="宋体" w:cs="宋体"/>
                <w:color w:val="auto"/>
                <w:highlight w:val="none"/>
              </w:rPr>
              <w:t>1</w:t>
            </w:r>
          </w:p>
        </w:tc>
        <w:tc>
          <w:tcPr>
            <w:tcW w:w="2494" w:type="dxa"/>
            <w:vAlign w:val="center"/>
          </w:tcPr>
          <w:p>
            <w:pPr>
              <w:shd w:val="clear"/>
              <w:adjustRightInd w:val="0"/>
              <w:snapToGrid w:val="0"/>
              <w:spacing w:before="120" w:beforeLines="5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w:t>
            </w:r>
          </w:p>
        </w:tc>
        <w:tc>
          <w:tcPr>
            <w:tcW w:w="5770" w:type="dxa"/>
            <w:vAlign w:val="center"/>
          </w:tcPr>
          <w:p>
            <w:pPr>
              <w:keepNext w:val="0"/>
              <w:keepLines w:val="0"/>
              <w:pageBreakBefore w:val="0"/>
              <w:shd w:val="clear"/>
              <w:kinsoku/>
              <w:wordWrap/>
              <w:topLinePunct w:val="0"/>
              <w:autoSpaceDE/>
              <w:autoSpaceDN/>
              <w:bidi w:val="0"/>
              <w:adjustRightInd w:val="0"/>
              <w:snapToGrid w:val="0"/>
              <w:spacing w:line="600" w:lineRule="exact"/>
              <w:jc w:val="left"/>
              <w:textAlignment w:val="auto"/>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sz w:val="28"/>
                <w:szCs w:val="28"/>
                <w:highlight w:val="none"/>
              </w:rPr>
              <w:t>采购人：</w:t>
            </w:r>
            <w:r>
              <w:rPr>
                <w:rFonts w:hint="eastAsia" w:ascii="仿宋" w:hAnsi="仿宋" w:eastAsia="仿宋" w:cs="仿宋"/>
                <w:bCs/>
                <w:color w:val="auto"/>
                <w:sz w:val="28"/>
                <w:szCs w:val="28"/>
                <w:highlight w:val="none"/>
                <w:u w:val="single"/>
                <w:lang w:eastAsia="zh-CN"/>
              </w:rPr>
              <w:t>淮南市农业综合行政执法支队</w:t>
            </w:r>
          </w:p>
          <w:p>
            <w:pPr>
              <w:shd w:val="clear"/>
              <w:adjustRightInd w:val="0"/>
              <w:snapToGrid w:val="0"/>
              <w:spacing w:before="120" w:beforeLines="50" w:line="360" w:lineRule="auto"/>
              <w:jc w:val="both"/>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lang w:eastAsia="zh-CN"/>
              </w:rPr>
              <w:t xml:space="preserve"> </w:t>
            </w:r>
            <w:r>
              <w:rPr>
                <w:rFonts w:hint="eastAsia" w:ascii="仿宋" w:hAnsi="仿宋" w:eastAsia="仿宋" w:cs="仿宋"/>
                <w:color w:val="auto"/>
                <w:sz w:val="28"/>
                <w:szCs w:val="28"/>
                <w:highlight w:val="none"/>
                <w:u w:val="single"/>
                <w:lang w:val="en-US" w:eastAsia="zh-CN"/>
              </w:rPr>
              <w:t>淮南市田家庵区</w:t>
            </w:r>
          </w:p>
          <w:p>
            <w:pPr>
              <w:shd w:val="clear"/>
              <w:adjustRightInd w:val="0"/>
              <w:snapToGrid w:val="0"/>
              <w:spacing w:before="120" w:beforeLines="50" w:line="360" w:lineRule="auto"/>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电 话：</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u w:val="single"/>
                <w:lang w:val="en-US" w:eastAsia="zh-CN"/>
              </w:rPr>
              <w:t>17729900303</w:t>
            </w:r>
          </w:p>
          <w:p>
            <w:pPr>
              <w:shd w:val="clear"/>
              <w:adjustRightInd w:val="0"/>
              <w:snapToGrid w:val="0"/>
              <w:spacing w:before="120" w:beforeLines="50" w:line="360" w:lineRule="auto"/>
              <w:jc w:val="both"/>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val="en-US" w:eastAsia="zh-CN"/>
              </w:rPr>
              <w:t>高雅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62" w:type="dxa"/>
            <w:vAlign w:val="center"/>
          </w:tcPr>
          <w:p>
            <w:pPr>
              <w:shd w:val="clear"/>
              <w:adjustRightInd w:val="0"/>
              <w:snapToGrid w:val="0"/>
              <w:spacing w:before="120" w:beforeLines="50" w:line="360" w:lineRule="auto"/>
              <w:jc w:val="center"/>
              <w:rPr>
                <w:rFonts w:ascii="宋体" w:hAnsi="宋体" w:cs="宋体"/>
                <w:color w:val="auto"/>
                <w:highlight w:val="none"/>
              </w:rPr>
            </w:pPr>
            <w:r>
              <w:rPr>
                <w:rFonts w:hint="eastAsia" w:ascii="宋体" w:hAnsi="宋体" w:cs="宋体"/>
                <w:color w:val="auto"/>
                <w:highlight w:val="none"/>
              </w:rPr>
              <w:t>2</w:t>
            </w:r>
          </w:p>
        </w:tc>
        <w:tc>
          <w:tcPr>
            <w:tcW w:w="2494" w:type="dxa"/>
            <w:vAlign w:val="center"/>
          </w:tcPr>
          <w:p>
            <w:pPr>
              <w:shd w:val="clear"/>
              <w:adjustRightInd w:val="0"/>
              <w:snapToGrid w:val="0"/>
              <w:spacing w:before="120" w:beforeLines="5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采购代理机构</w:t>
            </w:r>
          </w:p>
        </w:tc>
        <w:tc>
          <w:tcPr>
            <w:tcW w:w="5770" w:type="dxa"/>
            <w:vAlign w:val="center"/>
          </w:tcPr>
          <w:p>
            <w:pPr>
              <w:shd w:val="clear"/>
              <w:adjustRightInd w:val="0"/>
              <w:snapToGrid w:val="0"/>
              <w:spacing w:before="120" w:beforeLines="50" w:line="360" w:lineRule="auto"/>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采购代理机构：</w:t>
            </w:r>
            <w:r>
              <w:rPr>
                <w:rFonts w:hint="eastAsia" w:ascii="仿宋" w:hAnsi="仿宋" w:eastAsia="仿宋" w:cs="仿宋"/>
                <w:color w:val="auto"/>
                <w:sz w:val="28"/>
                <w:szCs w:val="28"/>
                <w:highlight w:val="none"/>
                <w:u w:val="single"/>
                <w:lang w:eastAsia="zh-CN"/>
              </w:rPr>
              <w:t>安徽凝立项目管理有限公司</w:t>
            </w:r>
          </w:p>
          <w:p>
            <w:pPr>
              <w:shd w:val="clear"/>
              <w:adjustRightInd w:val="0"/>
              <w:snapToGrid w:val="0"/>
              <w:spacing w:before="120" w:beforeLines="50" w:line="360" w:lineRule="auto"/>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lang w:val="en-US" w:eastAsia="zh-CN"/>
              </w:rPr>
              <w:t>淮南市经开区</w:t>
            </w:r>
          </w:p>
          <w:p>
            <w:pPr>
              <w:shd w:val="clear"/>
              <w:adjustRightInd w:val="0"/>
              <w:snapToGrid w:val="0"/>
              <w:spacing w:before="120" w:beforeLines="50" w:line="360" w:lineRule="auto"/>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电 话：</w:t>
            </w:r>
            <w:r>
              <w:rPr>
                <w:rFonts w:hint="eastAsia" w:ascii="仿宋" w:hAnsi="仿宋" w:eastAsia="仿宋" w:cs="仿宋"/>
                <w:color w:val="auto"/>
                <w:sz w:val="28"/>
                <w:szCs w:val="28"/>
                <w:highlight w:val="none"/>
                <w:u w:val="single"/>
                <w:lang w:val="en-US" w:eastAsia="zh-CN"/>
              </w:rPr>
              <w:t>0554-6621331</w:t>
            </w:r>
          </w:p>
          <w:p>
            <w:pPr>
              <w:shd w:val="clear"/>
              <w:adjustRightInd w:val="0"/>
              <w:snapToGrid w:val="0"/>
              <w:spacing w:before="120" w:beforeLines="50" w:line="360" w:lineRule="auto"/>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u w:val="single"/>
                <w:lang w:val="en-US" w:eastAsia="zh-CN"/>
              </w:rPr>
              <w:t>方丽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62" w:type="dxa"/>
            <w:vAlign w:val="center"/>
          </w:tcPr>
          <w:p>
            <w:pPr>
              <w:shd w:val="clear"/>
              <w:adjustRightInd w:val="0"/>
              <w:snapToGrid w:val="0"/>
              <w:spacing w:before="120" w:beforeLines="50" w:line="360" w:lineRule="auto"/>
              <w:jc w:val="center"/>
              <w:rPr>
                <w:rFonts w:ascii="宋体" w:hAnsi="宋体" w:cs="宋体"/>
                <w:color w:val="auto"/>
                <w:highlight w:val="none"/>
              </w:rPr>
            </w:pPr>
            <w:r>
              <w:rPr>
                <w:rFonts w:hint="eastAsia" w:ascii="宋体" w:hAnsi="宋体" w:cs="宋体"/>
                <w:color w:val="auto"/>
                <w:highlight w:val="none"/>
              </w:rPr>
              <w:t>3</w:t>
            </w:r>
          </w:p>
        </w:tc>
        <w:tc>
          <w:tcPr>
            <w:tcW w:w="2494" w:type="dxa"/>
            <w:vAlign w:val="center"/>
          </w:tcPr>
          <w:p>
            <w:pPr>
              <w:shd w:val="clear"/>
              <w:adjustRightInd w:val="0"/>
              <w:snapToGrid w:val="0"/>
              <w:spacing w:before="120" w:beforeLines="5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tc>
        <w:tc>
          <w:tcPr>
            <w:tcW w:w="5770" w:type="dxa"/>
            <w:vAlign w:val="center"/>
          </w:tcPr>
          <w:p>
            <w:pPr>
              <w:shd w:val="clear"/>
              <w:adjustRightInd w:val="0"/>
              <w:snapToGrid w:val="0"/>
              <w:spacing w:before="120" w:beforeLines="50" w:line="360" w:lineRule="auto"/>
              <w:rPr>
                <w:rFonts w:hint="eastAsia" w:ascii="仿宋" w:hAnsi="仿宋" w:eastAsia="仿宋" w:cs="仿宋"/>
                <w:color w:val="auto"/>
                <w:sz w:val="28"/>
                <w:szCs w:val="28"/>
                <w:highlight w:val="none"/>
                <w:u w:val="none"/>
                <w:lang w:eastAsia="zh-CN"/>
              </w:rPr>
            </w:pPr>
            <w:r>
              <w:rPr>
                <w:rFonts w:hint="eastAsia" w:ascii="仿宋" w:hAnsi="仿宋" w:eastAsia="仿宋" w:cs="仿宋"/>
                <w:bCs/>
                <w:color w:val="auto"/>
                <w:sz w:val="28"/>
                <w:szCs w:val="28"/>
                <w:highlight w:val="none"/>
                <w:u w:val="none"/>
                <w:lang w:eastAsia="zh-CN"/>
              </w:rPr>
              <w:t>淮南市渔政指挥中心信息化项目</w:t>
            </w:r>
            <w:r>
              <w:rPr>
                <w:rFonts w:hint="eastAsia" w:ascii="仿宋" w:hAnsi="仿宋" w:eastAsia="仿宋" w:cs="仿宋"/>
                <w:bCs/>
                <w:color w:val="auto"/>
                <w:sz w:val="28"/>
                <w:szCs w:val="28"/>
                <w:highlight w:val="none"/>
                <w:u w:val="none"/>
                <w:lang w:val="en-US" w:eastAsia="zh-CN"/>
              </w:rPr>
              <w:t>综合</w:t>
            </w:r>
            <w:r>
              <w:rPr>
                <w:rFonts w:hint="eastAsia" w:ascii="仿宋" w:hAnsi="仿宋" w:eastAsia="仿宋" w:cs="仿宋"/>
                <w:bCs/>
                <w:color w:val="auto"/>
                <w:sz w:val="28"/>
                <w:szCs w:val="28"/>
                <w:highlight w:val="none"/>
                <w:u w:val="none"/>
                <w:lang w:eastAsia="zh-CN"/>
              </w:rPr>
              <w:t>运维服务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62" w:type="dxa"/>
            <w:vAlign w:val="center"/>
          </w:tcPr>
          <w:p>
            <w:pPr>
              <w:shd w:val="clear"/>
              <w:adjustRightInd w:val="0"/>
              <w:snapToGrid w:val="0"/>
              <w:spacing w:before="120" w:beforeLines="50" w:line="360" w:lineRule="auto"/>
              <w:jc w:val="center"/>
              <w:rPr>
                <w:rFonts w:ascii="宋体" w:hAnsi="宋体" w:cs="宋体"/>
                <w:color w:val="auto"/>
                <w:highlight w:val="none"/>
              </w:rPr>
            </w:pPr>
            <w:r>
              <w:rPr>
                <w:rFonts w:hint="eastAsia" w:ascii="宋体" w:hAnsi="宋体" w:cs="宋体"/>
                <w:color w:val="auto"/>
                <w:highlight w:val="none"/>
              </w:rPr>
              <w:t>4</w:t>
            </w:r>
          </w:p>
        </w:tc>
        <w:tc>
          <w:tcPr>
            <w:tcW w:w="2494" w:type="dxa"/>
            <w:vAlign w:val="center"/>
          </w:tcPr>
          <w:p>
            <w:pPr>
              <w:shd w:val="clear"/>
              <w:adjustRightInd w:val="0"/>
              <w:snapToGrid w:val="0"/>
              <w:spacing w:before="120" w:beforeLines="5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服务地点</w:t>
            </w:r>
          </w:p>
        </w:tc>
        <w:tc>
          <w:tcPr>
            <w:tcW w:w="5770" w:type="dxa"/>
            <w:vAlign w:val="center"/>
          </w:tcPr>
          <w:p>
            <w:pPr>
              <w:shd w:val="clear"/>
              <w:adjustRightInd w:val="0"/>
              <w:snapToGrid w:val="0"/>
              <w:spacing w:before="120" w:beforeLines="50"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业主指定地点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62" w:type="dxa"/>
            <w:vAlign w:val="center"/>
          </w:tcPr>
          <w:p>
            <w:pPr>
              <w:shd w:val="clear"/>
              <w:adjustRightInd w:val="0"/>
              <w:snapToGrid w:val="0"/>
              <w:spacing w:before="120" w:beforeLines="50" w:line="360" w:lineRule="auto"/>
              <w:jc w:val="center"/>
              <w:rPr>
                <w:rFonts w:ascii="宋体" w:hAnsi="宋体" w:cs="宋体"/>
                <w:color w:val="auto"/>
                <w:highlight w:val="none"/>
              </w:rPr>
            </w:pPr>
            <w:r>
              <w:rPr>
                <w:rFonts w:hint="eastAsia" w:ascii="宋体" w:hAnsi="宋体" w:cs="宋体"/>
                <w:color w:val="auto"/>
                <w:highlight w:val="none"/>
              </w:rPr>
              <w:t>5</w:t>
            </w:r>
          </w:p>
        </w:tc>
        <w:tc>
          <w:tcPr>
            <w:tcW w:w="2494" w:type="dxa"/>
            <w:vAlign w:val="center"/>
          </w:tcPr>
          <w:p>
            <w:pPr>
              <w:shd w:val="clear"/>
              <w:adjustRightInd w:val="0"/>
              <w:snapToGrid w:val="0"/>
              <w:spacing w:before="120" w:beforeLines="5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资金来源</w:t>
            </w:r>
          </w:p>
        </w:tc>
        <w:tc>
          <w:tcPr>
            <w:tcW w:w="5770" w:type="dxa"/>
            <w:vAlign w:val="center"/>
          </w:tcPr>
          <w:p>
            <w:pPr>
              <w:shd w:val="clear"/>
              <w:adjustRightInd w:val="0"/>
              <w:snapToGrid w:val="0"/>
              <w:spacing w:before="120" w:beforeLines="50" w:line="360" w:lineRule="auto"/>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62" w:type="dxa"/>
            <w:vAlign w:val="center"/>
          </w:tcPr>
          <w:p>
            <w:pPr>
              <w:shd w:val="clear"/>
              <w:adjustRightInd w:val="0"/>
              <w:snapToGrid w:val="0"/>
              <w:spacing w:before="120" w:beforeLines="50" w:line="360" w:lineRule="auto"/>
              <w:jc w:val="center"/>
              <w:rPr>
                <w:rFonts w:ascii="宋体" w:hAnsi="宋体" w:cs="宋体"/>
                <w:color w:val="auto"/>
                <w:highlight w:val="none"/>
              </w:rPr>
            </w:pPr>
            <w:r>
              <w:rPr>
                <w:rFonts w:hint="eastAsia" w:ascii="宋体" w:hAnsi="宋体" w:cs="宋体"/>
                <w:color w:val="auto"/>
                <w:highlight w:val="none"/>
              </w:rPr>
              <w:t>6</w:t>
            </w:r>
          </w:p>
        </w:tc>
        <w:tc>
          <w:tcPr>
            <w:tcW w:w="2494" w:type="dxa"/>
            <w:vAlign w:val="center"/>
          </w:tcPr>
          <w:p>
            <w:pPr>
              <w:shd w:val="clear"/>
              <w:adjustRightInd w:val="0"/>
              <w:snapToGrid w:val="0"/>
              <w:spacing w:before="120" w:beforeLines="5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资金落实情况</w:t>
            </w:r>
          </w:p>
        </w:tc>
        <w:tc>
          <w:tcPr>
            <w:tcW w:w="5770" w:type="dxa"/>
            <w:vAlign w:val="center"/>
          </w:tcPr>
          <w:p>
            <w:pPr>
              <w:shd w:val="clear"/>
              <w:adjustRightInd w:val="0"/>
              <w:snapToGrid w:val="0"/>
              <w:spacing w:before="120" w:beforeLines="50"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62" w:type="dxa"/>
            <w:vAlign w:val="center"/>
          </w:tcPr>
          <w:p>
            <w:pPr>
              <w:shd w:val="clear"/>
              <w:adjustRightInd w:val="0"/>
              <w:snapToGrid w:val="0"/>
              <w:spacing w:before="120" w:beforeLines="50" w:line="360" w:lineRule="auto"/>
              <w:jc w:val="center"/>
              <w:rPr>
                <w:rFonts w:ascii="宋体" w:hAnsi="宋体" w:cs="宋体"/>
                <w:color w:val="auto"/>
                <w:highlight w:val="none"/>
              </w:rPr>
            </w:pPr>
            <w:r>
              <w:rPr>
                <w:rFonts w:hint="eastAsia" w:ascii="宋体" w:hAnsi="宋体" w:cs="宋体"/>
                <w:color w:val="auto"/>
                <w:highlight w:val="none"/>
              </w:rPr>
              <w:t>7</w:t>
            </w:r>
          </w:p>
        </w:tc>
        <w:tc>
          <w:tcPr>
            <w:tcW w:w="2494" w:type="dxa"/>
            <w:vAlign w:val="center"/>
          </w:tcPr>
          <w:p>
            <w:pPr>
              <w:shd w:val="clear"/>
              <w:adjustRightInd w:val="0"/>
              <w:snapToGrid w:val="0"/>
              <w:spacing w:before="120" w:beforeLines="5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采购范围</w:t>
            </w:r>
          </w:p>
        </w:tc>
        <w:tc>
          <w:tcPr>
            <w:tcW w:w="5770" w:type="dxa"/>
            <w:vAlign w:val="center"/>
          </w:tcPr>
          <w:p>
            <w:pPr>
              <w:shd w:val="clear"/>
              <w:adjustRightInd w:val="0"/>
              <w:snapToGrid w:val="0"/>
              <w:spacing w:before="120" w:beforeLines="50"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详见竞争性谈判文件采购需求章节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62" w:type="dxa"/>
            <w:vAlign w:val="center"/>
          </w:tcPr>
          <w:p>
            <w:pPr>
              <w:shd w:val="clear"/>
              <w:adjustRightInd w:val="0"/>
              <w:snapToGrid w:val="0"/>
              <w:spacing w:before="120" w:beforeLines="50" w:line="360" w:lineRule="auto"/>
              <w:jc w:val="center"/>
              <w:rPr>
                <w:rFonts w:ascii="宋体" w:hAnsi="宋体" w:cs="宋体"/>
                <w:color w:val="auto"/>
                <w:highlight w:val="none"/>
              </w:rPr>
            </w:pPr>
            <w:r>
              <w:rPr>
                <w:rFonts w:hint="eastAsia" w:ascii="宋体" w:hAnsi="宋体" w:cs="宋体"/>
                <w:color w:val="auto"/>
                <w:highlight w:val="none"/>
              </w:rPr>
              <w:t>8</w:t>
            </w:r>
          </w:p>
        </w:tc>
        <w:tc>
          <w:tcPr>
            <w:tcW w:w="2494" w:type="dxa"/>
            <w:vAlign w:val="center"/>
          </w:tcPr>
          <w:p>
            <w:pPr>
              <w:shd w:val="clear"/>
              <w:adjustRightInd w:val="0"/>
              <w:snapToGrid w:val="0"/>
              <w:spacing w:before="120" w:beforeLines="5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报价要求</w:t>
            </w:r>
          </w:p>
        </w:tc>
        <w:tc>
          <w:tcPr>
            <w:tcW w:w="5770" w:type="dxa"/>
            <w:vAlign w:val="center"/>
          </w:tcPr>
          <w:p>
            <w:pPr>
              <w:shd w:val="clear"/>
              <w:adjustRightInd w:val="0"/>
              <w:snapToGrid w:val="0"/>
              <w:spacing w:before="120" w:beforeLines="50" w:line="360" w:lineRule="auto"/>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不得超过最高投标限价</w:t>
            </w:r>
            <w:r>
              <w:rPr>
                <w:rFonts w:hint="eastAsia" w:ascii="仿宋" w:hAnsi="仿宋" w:eastAsia="仿宋" w:cs="仿宋"/>
                <w:color w:val="auto"/>
                <w:sz w:val="28"/>
                <w:szCs w:val="28"/>
                <w:highlight w:val="none"/>
                <w:lang w:val="en-US" w:eastAsia="zh-CN"/>
              </w:rPr>
              <w:t>230000</w:t>
            </w:r>
            <w:r>
              <w:rPr>
                <w:rFonts w:hint="eastAsia" w:ascii="仿宋" w:hAnsi="仿宋" w:eastAsia="仿宋" w:cs="仿宋"/>
                <w:color w:val="auto"/>
                <w:sz w:val="28"/>
                <w:szCs w:val="28"/>
                <w:highlight w:val="no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62" w:type="dxa"/>
            <w:vAlign w:val="center"/>
          </w:tcPr>
          <w:p>
            <w:pPr>
              <w:shd w:val="clear"/>
              <w:adjustRightInd w:val="0"/>
              <w:snapToGrid w:val="0"/>
              <w:spacing w:before="120" w:beforeLines="50" w:line="360" w:lineRule="auto"/>
              <w:jc w:val="center"/>
              <w:rPr>
                <w:rFonts w:ascii="宋体" w:hAnsi="宋体" w:cs="宋体"/>
                <w:color w:val="auto"/>
                <w:highlight w:val="none"/>
              </w:rPr>
            </w:pPr>
            <w:r>
              <w:rPr>
                <w:rFonts w:hint="eastAsia" w:ascii="宋体" w:hAnsi="宋体" w:cs="宋体"/>
                <w:color w:val="auto"/>
                <w:highlight w:val="none"/>
              </w:rPr>
              <w:t>9</w:t>
            </w:r>
          </w:p>
        </w:tc>
        <w:tc>
          <w:tcPr>
            <w:tcW w:w="2494" w:type="dxa"/>
            <w:vAlign w:val="center"/>
          </w:tcPr>
          <w:p>
            <w:pPr>
              <w:shd w:val="clear"/>
              <w:adjustRightInd w:val="0"/>
              <w:snapToGrid w:val="0"/>
              <w:spacing w:before="120" w:beforeLines="50" w:line="360" w:lineRule="auto"/>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合同履行期限</w:t>
            </w:r>
          </w:p>
        </w:tc>
        <w:tc>
          <w:tcPr>
            <w:tcW w:w="5770" w:type="dxa"/>
            <w:vAlign w:val="center"/>
          </w:tcPr>
          <w:p>
            <w:pPr>
              <w:shd w:val="clear"/>
              <w:adjustRightInd w:val="0"/>
              <w:snapToGrid w:val="0"/>
              <w:spacing w:before="120" w:beforeLines="50"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109</w:t>
            </w:r>
            <w:r>
              <w:rPr>
                <w:rFonts w:hint="eastAsia" w:ascii="仿宋" w:hAnsi="仿宋" w:eastAsia="仿宋" w:cs="仿宋"/>
                <w:color w:val="auto"/>
                <w:sz w:val="28"/>
                <w:szCs w:val="28"/>
                <w:highlight w:val="none"/>
                <w:lang w:eastAsia="zh-CN"/>
              </w:rPr>
              <w:t>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62" w:type="dxa"/>
            <w:vAlign w:val="center"/>
          </w:tcPr>
          <w:p>
            <w:pPr>
              <w:shd w:val="clear"/>
              <w:adjustRightInd w:val="0"/>
              <w:snapToGrid w:val="0"/>
              <w:spacing w:before="120" w:beforeLines="50" w:line="360" w:lineRule="auto"/>
              <w:jc w:val="center"/>
              <w:rPr>
                <w:rFonts w:ascii="宋体" w:hAnsi="宋体" w:cs="宋体"/>
                <w:color w:val="auto"/>
                <w:highlight w:val="none"/>
              </w:rPr>
            </w:pPr>
            <w:r>
              <w:rPr>
                <w:rFonts w:hint="eastAsia" w:ascii="宋体" w:hAnsi="宋体" w:cs="宋体"/>
                <w:color w:val="auto"/>
                <w:highlight w:val="none"/>
              </w:rPr>
              <w:t>10</w:t>
            </w:r>
          </w:p>
        </w:tc>
        <w:tc>
          <w:tcPr>
            <w:tcW w:w="2494" w:type="dxa"/>
            <w:vAlign w:val="center"/>
          </w:tcPr>
          <w:p>
            <w:pPr>
              <w:shd w:val="clear"/>
              <w:adjustRightInd w:val="0"/>
              <w:snapToGrid w:val="0"/>
              <w:spacing w:before="120" w:beforeLines="5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质量</w:t>
            </w:r>
            <w:r>
              <w:rPr>
                <w:rFonts w:hint="eastAsia" w:ascii="仿宋" w:hAnsi="仿宋" w:eastAsia="仿宋" w:cs="仿宋"/>
                <w:color w:val="auto"/>
                <w:sz w:val="28"/>
                <w:szCs w:val="28"/>
                <w:highlight w:val="none"/>
              </w:rPr>
              <w:t>要求</w:t>
            </w:r>
          </w:p>
        </w:tc>
        <w:tc>
          <w:tcPr>
            <w:tcW w:w="5770" w:type="dxa"/>
            <w:vAlign w:val="center"/>
          </w:tcPr>
          <w:p>
            <w:pPr>
              <w:shd w:val="clear"/>
              <w:adjustRightInd w:val="0"/>
              <w:snapToGrid w:val="0"/>
              <w:spacing w:before="120" w:beforeLines="50"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62" w:type="dxa"/>
            <w:vAlign w:val="center"/>
          </w:tcPr>
          <w:p>
            <w:pPr>
              <w:shd w:val="clear"/>
              <w:adjustRightInd w:val="0"/>
              <w:snapToGrid w:val="0"/>
              <w:spacing w:before="120" w:beforeLines="50" w:line="360" w:lineRule="auto"/>
              <w:jc w:val="center"/>
              <w:rPr>
                <w:rFonts w:ascii="宋体" w:hAnsi="宋体" w:cs="宋体"/>
                <w:color w:val="auto"/>
                <w:highlight w:val="none"/>
              </w:rPr>
            </w:pPr>
            <w:r>
              <w:rPr>
                <w:rFonts w:hint="eastAsia" w:ascii="宋体" w:hAnsi="宋体" w:cs="宋体"/>
                <w:color w:val="auto"/>
                <w:highlight w:val="none"/>
              </w:rPr>
              <w:t>11</w:t>
            </w:r>
          </w:p>
        </w:tc>
        <w:tc>
          <w:tcPr>
            <w:tcW w:w="2494" w:type="dxa"/>
            <w:vAlign w:val="center"/>
          </w:tcPr>
          <w:p>
            <w:pPr>
              <w:shd w:val="clear"/>
              <w:adjustRightInd w:val="0"/>
              <w:snapToGrid w:val="0"/>
              <w:spacing w:before="120" w:beforeLines="5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质量保证期</w:t>
            </w:r>
          </w:p>
        </w:tc>
        <w:tc>
          <w:tcPr>
            <w:tcW w:w="5770" w:type="dxa"/>
            <w:vAlign w:val="center"/>
          </w:tcPr>
          <w:p>
            <w:pPr>
              <w:shd w:val="clear"/>
              <w:adjustRightInd w:val="0"/>
              <w:snapToGrid w:val="0"/>
              <w:spacing w:before="120" w:beforeLines="50" w:line="360" w:lineRule="auto"/>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62" w:type="dxa"/>
            <w:vAlign w:val="center"/>
          </w:tcPr>
          <w:p>
            <w:pPr>
              <w:shd w:val="clear"/>
              <w:adjustRightInd w:val="0"/>
              <w:snapToGrid w:val="0"/>
              <w:spacing w:before="120" w:beforeLines="50" w:line="360" w:lineRule="auto"/>
              <w:jc w:val="center"/>
              <w:rPr>
                <w:rFonts w:ascii="宋体" w:hAnsi="宋体" w:cs="宋体"/>
                <w:color w:val="auto"/>
                <w:highlight w:val="none"/>
              </w:rPr>
            </w:pPr>
            <w:r>
              <w:rPr>
                <w:rFonts w:hint="eastAsia" w:ascii="宋体" w:hAnsi="宋体" w:cs="宋体"/>
                <w:color w:val="auto"/>
                <w:highlight w:val="none"/>
              </w:rPr>
              <w:t>12</w:t>
            </w:r>
          </w:p>
        </w:tc>
        <w:tc>
          <w:tcPr>
            <w:tcW w:w="2494" w:type="dxa"/>
            <w:vAlign w:val="center"/>
          </w:tcPr>
          <w:p>
            <w:pPr>
              <w:shd w:val="clear"/>
              <w:adjustRightInd w:val="0"/>
              <w:snapToGrid w:val="0"/>
              <w:spacing w:before="120" w:beforeLines="5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供应商资质条件</w:t>
            </w:r>
          </w:p>
        </w:tc>
        <w:tc>
          <w:tcPr>
            <w:tcW w:w="5770" w:type="dxa"/>
            <w:vAlign w:val="center"/>
          </w:tcPr>
          <w:p>
            <w:pPr>
              <w:shd w:val="clear"/>
              <w:adjustRightInd w:val="0"/>
              <w:snapToGrid w:val="0"/>
              <w:spacing w:before="120" w:beforeLines="50" w:line="360" w:lineRule="auto"/>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详见</w:t>
            </w:r>
            <w:r>
              <w:rPr>
                <w:rFonts w:hint="eastAsia" w:ascii="仿宋" w:hAnsi="仿宋" w:eastAsia="仿宋" w:cs="仿宋"/>
                <w:color w:val="auto"/>
                <w:sz w:val="28"/>
                <w:szCs w:val="28"/>
                <w:highlight w:val="none"/>
                <w:lang w:eastAsia="zh-CN"/>
              </w:rPr>
              <w:t>竞争性谈判公告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62" w:type="dxa"/>
            <w:vAlign w:val="center"/>
          </w:tcPr>
          <w:p>
            <w:pPr>
              <w:shd w:val="clear"/>
              <w:adjustRightInd w:val="0"/>
              <w:snapToGrid w:val="0"/>
              <w:spacing w:before="120" w:beforeLines="50" w:line="360" w:lineRule="auto"/>
              <w:jc w:val="center"/>
              <w:rPr>
                <w:rFonts w:ascii="宋体" w:hAnsi="宋体" w:cs="宋体"/>
                <w:color w:val="auto"/>
                <w:highlight w:val="none"/>
              </w:rPr>
            </w:pPr>
            <w:r>
              <w:rPr>
                <w:rFonts w:hint="eastAsia" w:ascii="宋体" w:hAnsi="宋体" w:cs="宋体"/>
                <w:color w:val="auto"/>
                <w:highlight w:val="none"/>
              </w:rPr>
              <w:t>13</w:t>
            </w:r>
          </w:p>
        </w:tc>
        <w:tc>
          <w:tcPr>
            <w:tcW w:w="2494" w:type="dxa"/>
            <w:vAlign w:val="center"/>
          </w:tcPr>
          <w:p>
            <w:pPr>
              <w:shd w:val="clear"/>
              <w:adjustRightInd w:val="0"/>
              <w:snapToGrid w:val="0"/>
              <w:spacing w:before="120" w:beforeLines="5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是否接受联合体投标</w:t>
            </w:r>
          </w:p>
        </w:tc>
        <w:tc>
          <w:tcPr>
            <w:tcW w:w="5770" w:type="dxa"/>
            <w:vAlign w:val="center"/>
          </w:tcPr>
          <w:p>
            <w:pPr>
              <w:shd w:val="clear"/>
              <w:adjustRightInd w:val="0"/>
              <w:snapToGrid w:val="0"/>
              <w:spacing w:before="120" w:beforeLines="50" w:line="360" w:lineRule="auto"/>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详见</w:t>
            </w:r>
            <w:r>
              <w:rPr>
                <w:rFonts w:hint="eastAsia" w:ascii="仿宋" w:hAnsi="仿宋" w:eastAsia="仿宋" w:cs="仿宋"/>
                <w:color w:val="auto"/>
                <w:sz w:val="28"/>
                <w:szCs w:val="28"/>
                <w:highlight w:val="none"/>
                <w:lang w:eastAsia="zh-CN"/>
              </w:rPr>
              <w:t>竞争性谈判公告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62" w:type="dxa"/>
            <w:vAlign w:val="center"/>
          </w:tcPr>
          <w:p>
            <w:pPr>
              <w:shd w:val="clear"/>
              <w:adjustRightInd w:val="0"/>
              <w:snapToGrid w:val="0"/>
              <w:spacing w:before="120" w:beforeLines="50" w:line="360" w:lineRule="auto"/>
              <w:jc w:val="center"/>
              <w:rPr>
                <w:rFonts w:ascii="宋体" w:hAnsi="宋体" w:cs="宋体"/>
                <w:color w:val="auto"/>
                <w:highlight w:val="none"/>
              </w:rPr>
            </w:pPr>
            <w:r>
              <w:rPr>
                <w:rFonts w:hint="eastAsia" w:ascii="宋体" w:hAnsi="宋体" w:cs="宋体"/>
                <w:color w:val="auto"/>
                <w:highlight w:val="none"/>
              </w:rPr>
              <w:t>14</w:t>
            </w:r>
          </w:p>
        </w:tc>
        <w:tc>
          <w:tcPr>
            <w:tcW w:w="2494" w:type="dxa"/>
            <w:vAlign w:val="center"/>
          </w:tcPr>
          <w:p>
            <w:pPr>
              <w:shd w:val="clear"/>
              <w:adjustRightInd w:val="0"/>
              <w:snapToGrid w:val="0"/>
              <w:spacing w:before="120" w:beforeLines="5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踏勘现场</w:t>
            </w:r>
          </w:p>
        </w:tc>
        <w:tc>
          <w:tcPr>
            <w:tcW w:w="5770" w:type="dxa"/>
            <w:vAlign w:val="center"/>
          </w:tcPr>
          <w:p>
            <w:pPr>
              <w:shd w:val="clear"/>
              <w:adjustRightInd w:val="0"/>
              <w:snapToGrid w:val="0"/>
              <w:spacing w:before="120" w:beforeLines="50"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62" w:type="dxa"/>
            <w:vAlign w:val="center"/>
          </w:tcPr>
          <w:p>
            <w:pPr>
              <w:shd w:val="clear"/>
              <w:adjustRightInd w:val="0"/>
              <w:snapToGrid w:val="0"/>
              <w:spacing w:before="120" w:beforeLines="50" w:line="360" w:lineRule="auto"/>
              <w:jc w:val="center"/>
              <w:rPr>
                <w:rFonts w:ascii="宋体" w:hAnsi="宋体" w:cs="宋体"/>
                <w:color w:val="auto"/>
                <w:highlight w:val="none"/>
              </w:rPr>
            </w:pPr>
            <w:r>
              <w:rPr>
                <w:rFonts w:hint="eastAsia" w:ascii="宋体" w:hAnsi="宋体" w:cs="宋体"/>
                <w:color w:val="auto"/>
                <w:highlight w:val="none"/>
              </w:rPr>
              <w:t>15</w:t>
            </w:r>
          </w:p>
        </w:tc>
        <w:tc>
          <w:tcPr>
            <w:tcW w:w="2494" w:type="dxa"/>
            <w:vAlign w:val="center"/>
          </w:tcPr>
          <w:p>
            <w:pPr>
              <w:shd w:val="clear"/>
              <w:adjustRightInd w:val="0"/>
              <w:snapToGrid w:val="0"/>
              <w:spacing w:before="120" w:beforeLines="5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投标预备会</w:t>
            </w:r>
          </w:p>
        </w:tc>
        <w:tc>
          <w:tcPr>
            <w:tcW w:w="5770" w:type="dxa"/>
            <w:vAlign w:val="center"/>
          </w:tcPr>
          <w:p>
            <w:pPr>
              <w:shd w:val="clear"/>
              <w:adjustRightInd w:val="0"/>
              <w:snapToGrid w:val="0"/>
              <w:spacing w:before="120" w:beforeLines="50"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62" w:type="dxa"/>
            <w:vAlign w:val="center"/>
          </w:tcPr>
          <w:p>
            <w:pPr>
              <w:shd w:val="clear"/>
              <w:adjustRightInd w:val="0"/>
              <w:snapToGrid w:val="0"/>
              <w:spacing w:before="120" w:beforeLines="50" w:line="360" w:lineRule="auto"/>
              <w:jc w:val="center"/>
              <w:rPr>
                <w:rFonts w:ascii="宋体" w:hAnsi="宋体" w:cs="宋体"/>
                <w:color w:val="auto"/>
                <w:highlight w:val="none"/>
              </w:rPr>
            </w:pPr>
            <w:r>
              <w:rPr>
                <w:rFonts w:hint="eastAsia" w:ascii="宋体" w:hAnsi="宋体" w:cs="宋体"/>
                <w:color w:val="auto"/>
                <w:highlight w:val="none"/>
              </w:rPr>
              <w:t>16</w:t>
            </w:r>
          </w:p>
        </w:tc>
        <w:tc>
          <w:tcPr>
            <w:tcW w:w="2494" w:type="dxa"/>
            <w:vAlign w:val="center"/>
          </w:tcPr>
          <w:p>
            <w:pPr>
              <w:shd w:val="clear"/>
              <w:adjustRightInd w:val="0"/>
              <w:snapToGrid w:val="0"/>
              <w:spacing w:before="120" w:beforeLines="5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供应商提出问题与竞争性谈判文件修改的截止时间</w:t>
            </w:r>
          </w:p>
        </w:tc>
        <w:tc>
          <w:tcPr>
            <w:tcW w:w="5770" w:type="dxa"/>
            <w:vAlign w:val="center"/>
          </w:tcPr>
          <w:p>
            <w:pPr>
              <w:shd w:val="clear"/>
              <w:adjustRightInd w:val="0"/>
              <w:snapToGrid w:val="0"/>
              <w:spacing w:before="120" w:beforeLines="50"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提问截止时间：投标截止时间3日前（逾期不予受理）</w:t>
            </w:r>
          </w:p>
          <w:p>
            <w:pPr>
              <w:shd w:val="clear"/>
              <w:adjustRightInd w:val="0"/>
              <w:snapToGrid w:val="0"/>
              <w:spacing w:before="120" w:beforeLines="50"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竞争性谈判文件修改截止时间：投标截止时间前3日前（如距离截止时间不足3个日历天，则延长开标时间）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62" w:type="dxa"/>
            <w:vAlign w:val="center"/>
          </w:tcPr>
          <w:p>
            <w:pPr>
              <w:shd w:val="clear"/>
              <w:adjustRightInd w:val="0"/>
              <w:snapToGrid w:val="0"/>
              <w:spacing w:before="120" w:beforeLines="50" w:line="360" w:lineRule="auto"/>
              <w:jc w:val="center"/>
              <w:rPr>
                <w:rFonts w:ascii="宋体" w:hAnsi="宋体" w:cs="宋体"/>
                <w:color w:val="auto"/>
                <w:highlight w:val="none"/>
              </w:rPr>
            </w:pPr>
            <w:r>
              <w:rPr>
                <w:rFonts w:hint="eastAsia" w:ascii="宋体" w:hAnsi="宋体" w:cs="宋体"/>
                <w:color w:val="auto"/>
                <w:highlight w:val="none"/>
              </w:rPr>
              <w:t>17</w:t>
            </w:r>
          </w:p>
        </w:tc>
        <w:tc>
          <w:tcPr>
            <w:tcW w:w="2494" w:type="dxa"/>
            <w:vAlign w:val="center"/>
          </w:tcPr>
          <w:p>
            <w:pPr>
              <w:shd w:val="clear"/>
              <w:adjustRightInd w:val="0"/>
              <w:snapToGrid w:val="0"/>
              <w:spacing w:before="120" w:beforeLines="5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供应商提出问题的方式</w:t>
            </w:r>
          </w:p>
        </w:tc>
        <w:tc>
          <w:tcPr>
            <w:tcW w:w="5770" w:type="dxa"/>
            <w:vAlign w:val="center"/>
          </w:tcPr>
          <w:p>
            <w:pPr>
              <w:shd w:val="clear"/>
              <w:adjustRightInd w:val="0"/>
              <w:snapToGrid w:val="0"/>
              <w:spacing w:before="120" w:beforeLines="50"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书面形式递交至采购人或采购代理机构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62" w:type="dxa"/>
            <w:vAlign w:val="center"/>
          </w:tcPr>
          <w:p>
            <w:pPr>
              <w:shd w:val="clear"/>
              <w:adjustRightInd w:val="0"/>
              <w:snapToGrid w:val="0"/>
              <w:spacing w:before="120" w:beforeLines="50" w:line="360" w:lineRule="auto"/>
              <w:jc w:val="center"/>
              <w:rPr>
                <w:rFonts w:ascii="宋体" w:hAnsi="宋体" w:cs="宋体"/>
                <w:color w:val="auto"/>
                <w:highlight w:val="none"/>
              </w:rPr>
            </w:pPr>
            <w:r>
              <w:rPr>
                <w:rFonts w:hint="eastAsia" w:ascii="宋体" w:hAnsi="宋体" w:cs="宋体"/>
                <w:color w:val="auto"/>
                <w:highlight w:val="none"/>
              </w:rPr>
              <w:t>18</w:t>
            </w:r>
          </w:p>
        </w:tc>
        <w:tc>
          <w:tcPr>
            <w:tcW w:w="2494" w:type="dxa"/>
            <w:vAlign w:val="center"/>
          </w:tcPr>
          <w:p>
            <w:pPr>
              <w:shd w:val="clear"/>
              <w:adjustRightInd w:val="0"/>
              <w:snapToGrid w:val="0"/>
              <w:spacing w:before="120" w:beforeLines="5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疑问的答疑获取</w:t>
            </w:r>
          </w:p>
        </w:tc>
        <w:tc>
          <w:tcPr>
            <w:tcW w:w="5770" w:type="dxa"/>
            <w:vAlign w:val="center"/>
          </w:tcPr>
          <w:p>
            <w:pPr>
              <w:shd w:val="clear"/>
              <w:adjustRightInd w:val="0"/>
              <w:snapToGrid w:val="0"/>
              <w:spacing w:before="120" w:beforeLines="50"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书面形式通知。</w:t>
            </w:r>
          </w:p>
          <w:p>
            <w:pPr>
              <w:shd w:val="clear"/>
              <w:adjustRightInd w:val="0"/>
              <w:snapToGrid w:val="0"/>
              <w:spacing w:before="120" w:beforeLines="50"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供应商请注意：采购代理机构对采购文件进行的澄清、更正或更改，将以书面形式通知，该内容为采购文件的组成部分，对供应商具有同样约束力效力。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62" w:type="dxa"/>
            <w:vAlign w:val="center"/>
          </w:tcPr>
          <w:p>
            <w:pPr>
              <w:shd w:val="clear"/>
              <w:adjustRightInd w:val="0"/>
              <w:snapToGrid w:val="0"/>
              <w:spacing w:before="120" w:beforeLines="50" w:line="360" w:lineRule="auto"/>
              <w:jc w:val="center"/>
              <w:rPr>
                <w:rFonts w:ascii="宋体" w:hAnsi="宋体" w:cs="宋体"/>
                <w:color w:val="auto"/>
                <w:highlight w:val="none"/>
              </w:rPr>
            </w:pPr>
            <w:r>
              <w:rPr>
                <w:rFonts w:hint="eastAsia" w:ascii="宋体" w:hAnsi="宋体" w:cs="宋体"/>
                <w:color w:val="auto"/>
                <w:highlight w:val="none"/>
              </w:rPr>
              <w:t>19</w:t>
            </w:r>
          </w:p>
        </w:tc>
        <w:tc>
          <w:tcPr>
            <w:tcW w:w="2494" w:type="dxa"/>
            <w:vAlign w:val="center"/>
          </w:tcPr>
          <w:p>
            <w:pPr>
              <w:shd w:val="clear"/>
              <w:adjustRightInd w:val="0"/>
              <w:snapToGrid w:val="0"/>
              <w:spacing w:before="120" w:beforeLines="5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偏离</w:t>
            </w:r>
          </w:p>
        </w:tc>
        <w:tc>
          <w:tcPr>
            <w:tcW w:w="5770" w:type="dxa"/>
            <w:vAlign w:val="center"/>
          </w:tcPr>
          <w:p>
            <w:pPr>
              <w:shd w:val="clear"/>
              <w:adjustRightInd w:val="0"/>
              <w:snapToGrid w:val="0"/>
              <w:spacing w:before="120" w:beforeLines="50"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62" w:type="dxa"/>
            <w:vAlign w:val="center"/>
          </w:tcPr>
          <w:p>
            <w:pPr>
              <w:shd w:val="clear"/>
              <w:adjustRightInd w:val="0"/>
              <w:snapToGrid w:val="0"/>
              <w:spacing w:before="120" w:beforeLines="50" w:line="360" w:lineRule="auto"/>
              <w:jc w:val="center"/>
              <w:rPr>
                <w:rFonts w:ascii="宋体" w:hAnsi="宋体" w:cs="宋体"/>
                <w:color w:val="auto"/>
                <w:highlight w:val="none"/>
              </w:rPr>
            </w:pPr>
            <w:r>
              <w:rPr>
                <w:rFonts w:hint="eastAsia" w:ascii="宋体" w:hAnsi="宋体" w:cs="宋体"/>
                <w:color w:val="auto"/>
                <w:highlight w:val="none"/>
              </w:rPr>
              <w:t>20</w:t>
            </w:r>
          </w:p>
        </w:tc>
        <w:tc>
          <w:tcPr>
            <w:tcW w:w="2494" w:type="dxa"/>
            <w:vAlign w:val="center"/>
          </w:tcPr>
          <w:p>
            <w:pPr>
              <w:shd w:val="clear"/>
              <w:adjustRightInd w:val="0"/>
              <w:snapToGrid w:val="0"/>
              <w:spacing w:before="120" w:beforeLines="5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构成竞争性谈判文件的其他材料</w:t>
            </w:r>
          </w:p>
        </w:tc>
        <w:tc>
          <w:tcPr>
            <w:tcW w:w="5770" w:type="dxa"/>
            <w:vAlign w:val="center"/>
          </w:tcPr>
          <w:p>
            <w:pPr>
              <w:shd w:val="clear"/>
              <w:adjustRightInd w:val="0"/>
              <w:snapToGrid w:val="0"/>
              <w:spacing w:before="120" w:beforeLines="50"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澄清文件、答疑文件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62" w:type="dxa"/>
            <w:vAlign w:val="center"/>
          </w:tcPr>
          <w:p>
            <w:pPr>
              <w:shd w:val="clear"/>
              <w:adjustRightInd w:val="0"/>
              <w:snapToGrid w:val="0"/>
              <w:spacing w:before="120" w:beforeLines="50" w:line="360" w:lineRule="auto"/>
              <w:jc w:val="center"/>
              <w:rPr>
                <w:rFonts w:ascii="宋体" w:hAnsi="宋体" w:cs="宋体"/>
                <w:color w:val="auto"/>
                <w:highlight w:val="none"/>
              </w:rPr>
            </w:pPr>
            <w:r>
              <w:rPr>
                <w:rFonts w:hint="eastAsia" w:ascii="宋体" w:hAnsi="宋体" w:cs="宋体"/>
                <w:color w:val="auto"/>
                <w:highlight w:val="none"/>
              </w:rPr>
              <w:t>21</w:t>
            </w:r>
          </w:p>
        </w:tc>
        <w:tc>
          <w:tcPr>
            <w:tcW w:w="2494" w:type="dxa"/>
            <w:vAlign w:val="center"/>
          </w:tcPr>
          <w:p>
            <w:pPr>
              <w:shd w:val="clear"/>
              <w:adjustRightInd w:val="0"/>
              <w:snapToGrid w:val="0"/>
              <w:spacing w:before="120" w:beforeLines="5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投标有效期</w:t>
            </w:r>
          </w:p>
        </w:tc>
        <w:tc>
          <w:tcPr>
            <w:tcW w:w="5770" w:type="dxa"/>
            <w:vAlign w:val="center"/>
          </w:tcPr>
          <w:p>
            <w:pPr>
              <w:shd w:val="clear"/>
              <w:adjustRightInd w:val="0"/>
              <w:snapToGrid w:val="0"/>
              <w:spacing w:before="120" w:beforeLines="50"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从投标截止之日起60日历天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62" w:type="dxa"/>
            <w:vAlign w:val="center"/>
          </w:tcPr>
          <w:p>
            <w:pPr>
              <w:shd w:val="clear"/>
              <w:adjustRightInd w:val="0"/>
              <w:snapToGrid w:val="0"/>
              <w:spacing w:before="120" w:beforeLines="50" w:line="360" w:lineRule="auto"/>
              <w:jc w:val="center"/>
              <w:rPr>
                <w:rFonts w:ascii="宋体" w:hAnsi="宋体" w:cs="宋体"/>
                <w:color w:val="auto"/>
                <w:highlight w:val="none"/>
              </w:rPr>
            </w:pPr>
            <w:r>
              <w:rPr>
                <w:rFonts w:hint="eastAsia" w:ascii="宋体" w:hAnsi="宋体" w:cs="宋体"/>
                <w:color w:val="auto"/>
                <w:highlight w:val="none"/>
              </w:rPr>
              <w:t>22</w:t>
            </w:r>
          </w:p>
        </w:tc>
        <w:tc>
          <w:tcPr>
            <w:tcW w:w="2494" w:type="dxa"/>
            <w:vAlign w:val="center"/>
          </w:tcPr>
          <w:p>
            <w:pPr>
              <w:shd w:val="clear"/>
              <w:adjustRightInd w:val="0"/>
              <w:snapToGrid w:val="0"/>
              <w:spacing w:before="120" w:beforeLines="5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投标保证金</w:t>
            </w:r>
          </w:p>
        </w:tc>
        <w:tc>
          <w:tcPr>
            <w:tcW w:w="5770" w:type="dxa"/>
            <w:vAlign w:val="center"/>
          </w:tcPr>
          <w:p>
            <w:pPr>
              <w:shd w:val="clear"/>
              <w:adjustRightInd w:val="0"/>
              <w:snapToGrid w:val="0"/>
              <w:spacing w:before="120" w:beforeLines="50"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62" w:type="dxa"/>
            <w:vAlign w:val="center"/>
          </w:tcPr>
          <w:p>
            <w:pPr>
              <w:shd w:val="clear"/>
              <w:adjustRightInd w:val="0"/>
              <w:snapToGrid w:val="0"/>
              <w:spacing w:before="120" w:beforeLines="50" w:line="360" w:lineRule="auto"/>
              <w:jc w:val="center"/>
              <w:rPr>
                <w:rFonts w:ascii="宋体" w:hAnsi="宋体" w:cs="宋体"/>
                <w:color w:val="auto"/>
                <w:highlight w:val="none"/>
              </w:rPr>
            </w:pPr>
            <w:r>
              <w:rPr>
                <w:rFonts w:hint="eastAsia" w:ascii="宋体" w:hAnsi="宋体" w:cs="宋体"/>
                <w:color w:val="auto"/>
                <w:highlight w:val="none"/>
              </w:rPr>
              <w:t>23</w:t>
            </w:r>
          </w:p>
        </w:tc>
        <w:tc>
          <w:tcPr>
            <w:tcW w:w="2494" w:type="dxa"/>
            <w:vAlign w:val="center"/>
          </w:tcPr>
          <w:p>
            <w:pPr>
              <w:shd w:val="clear"/>
              <w:adjustRightInd w:val="0"/>
              <w:snapToGrid w:val="0"/>
              <w:spacing w:before="120" w:beforeLines="5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资格审查方式</w:t>
            </w:r>
          </w:p>
        </w:tc>
        <w:tc>
          <w:tcPr>
            <w:tcW w:w="5770" w:type="dxa"/>
            <w:vAlign w:val="center"/>
          </w:tcPr>
          <w:p>
            <w:pPr>
              <w:shd w:val="clear"/>
              <w:adjustRightInd w:val="0"/>
              <w:snapToGrid w:val="0"/>
              <w:spacing w:before="120" w:beforeLines="50"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62" w:type="dxa"/>
            <w:vAlign w:val="center"/>
          </w:tcPr>
          <w:p>
            <w:pPr>
              <w:shd w:val="clear"/>
              <w:adjustRightInd w:val="0"/>
              <w:snapToGrid w:val="0"/>
              <w:spacing w:before="120" w:beforeLines="50" w:line="360" w:lineRule="auto"/>
              <w:jc w:val="center"/>
              <w:rPr>
                <w:rFonts w:ascii="宋体" w:hAnsi="宋体" w:cs="宋体"/>
                <w:color w:val="auto"/>
                <w:highlight w:val="none"/>
              </w:rPr>
            </w:pPr>
            <w:r>
              <w:rPr>
                <w:rFonts w:hint="eastAsia" w:ascii="宋体" w:hAnsi="宋体" w:cs="宋体"/>
                <w:color w:val="auto"/>
                <w:highlight w:val="none"/>
              </w:rPr>
              <w:t>24</w:t>
            </w:r>
          </w:p>
        </w:tc>
        <w:tc>
          <w:tcPr>
            <w:tcW w:w="2494" w:type="dxa"/>
            <w:vAlign w:val="center"/>
          </w:tcPr>
          <w:p>
            <w:pPr>
              <w:shd w:val="clear"/>
              <w:adjustRightInd w:val="0"/>
              <w:snapToGrid w:val="0"/>
              <w:spacing w:before="120" w:beforeLines="5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近年财务状况年份</w:t>
            </w:r>
          </w:p>
        </w:tc>
        <w:tc>
          <w:tcPr>
            <w:tcW w:w="5770" w:type="dxa"/>
            <w:vAlign w:val="center"/>
          </w:tcPr>
          <w:p>
            <w:pPr>
              <w:shd w:val="clear"/>
              <w:adjustRightInd w:val="0"/>
              <w:snapToGrid w:val="0"/>
              <w:spacing w:before="120" w:beforeLines="50"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jc w:val="center"/>
        </w:trPr>
        <w:tc>
          <w:tcPr>
            <w:tcW w:w="662" w:type="dxa"/>
            <w:vAlign w:val="center"/>
          </w:tcPr>
          <w:p>
            <w:pPr>
              <w:shd w:val="clear"/>
              <w:adjustRightInd w:val="0"/>
              <w:snapToGrid w:val="0"/>
              <w:spacing w:before="120" w:beforeLines="50" w:line="360" w:lineRule="auto"/>
              <w:jc w:val="center"/>
              <w:rPr>
                <w:rFonts w:ascii="宋体" w:hAnsi="宋体" w:cs="宋体"/>
                <w:color w:val="auto"/>
                <w:highlight w:val="none"/>
              </w:rPr>
            </w:pPr>
            <w:r>
              <w:rPr>
                <w:rFonts w:hint="eastAsia" w:ascii="宋体" w:hAnsi="宋体" w:cs="宋体"/>
                <w:color w:val="auto"/>
                <w:highlight w:val="none"/>
              </w:rPr>
              <w:t>25</w:t>
            </w:r>
          </w:p>
        </w:tc>
        <w:tc>
          <w:tcPr>
            <w:tcW w:w="2494" w:type="dxa"/>
            <w:vAlign w:val="center"/>
          </w:tcPr>
          <w:p>
            <w:pPr>
              <w:shd w:val="clear"/>
              <w:adjustRightInd w:val="0"/>
              <w:snapToGrid w:val="0"/>
              <w:spacing w:before="120" w:beforeLines="5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近年完成的类似项目的年份要求</w:t>
            </w:r>
          </w:p>
        </w:tc>
        <w:tc>
          <w:tcPr>
            <w:tcW w:w="5770" w:type="dxa"/>
            <w:vAlign w:val="center"/>
          </w:tcPr>
          <w:p>
            <w:pPr>
              <w:shd w:val="clear"/>
              <w:adjustRightInd w:val="0"/>
              <w:snapToGrid w:val="0"/>
              <w:spacing w:before="120" w:beforeLines="50"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62" w:type="dxa"/>
            <w:vAlign w:val="center"/>
          </w:tcPr>
          <w:p>
            <w:pPr>
              <w:shd w:val="clear"/>
              <w:adjustRightInd w:val="0"/>
              <w:snapToGrid w:val="0"/>
              <w:spacing w:before="120" w:beforeLines="50" w:line="360" w:lineRule="auto"/>
              <w:jc w:val="center"/>
              <w:rPr>
                <w:rFonts w:ascii="宋体" w:hAnsi="宋体" w:cs="宋体"/>
                <w:color w:val="auto"/>
                <w:highlight w:val="none"/>
              </w:rPr>
            </w:pPr>
            <w:r>
              <w:rPr>
                <w:rFonts w:hint="eastAsia" w:ascii="宋体" w:hAnsi="宋体" w:cs="宋体"/>
                <w:color w:val="auto"/>
                <w:highlight w:val="none"/>
              </w:rPr>
              <w:t>26</w:t>
            </w:r>
          </w:p>
        </w:tc>
        <w:tc>
          <w:tcPr>
            <w:tcW w:w="2494" w:type="dxa"/>
            <w:vAlign w:val="center"/>
          </w:tcPr>
          <w:p>
            <w:pPr>
              <w:shd w:val="clear"/>
              <w:adjustRightInd w:val="0"/>
              <w:snapToGrid w:val="0"/>
              <w:spacing w:before="120" w:beforeLines="5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近年发生的诉讼及仲裁情况的年份要求</w:t>
            </w:r>
          </w:p>
        </w:tc>
        <w:tc>
          <w:tcPr>
            <w:tcW w:w="5770" w:type="dxa"/>
            <w:vAlign w:val="center"/>
          </w:tcPr>
          <w:p>
            <w:pPr>
              <w:shd w:val="clear"/>
              <w:adjustRightInd w:val="0"/>
              <w:snapToGrid w:val="0"/>
              <w:spacing w:before="120" w:beforeLines="50"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62" w:type="dxa"/>
            <w:vAlign w:val="center"/>
          </w:tcPr>
          <w:p>
            <w:pPr>
              <w:shd w:val="clear"/>
              <w:adjustRightInd w:val="0"/>
              <w:snapToGrid w:val="0"/>
              <w:spacing w:before="120" w:beforeLines="50" w:line="360" w:lineRule="auto"/>
              <w:jc w:val="center"/>
              <w:rPr>
                <w:rFonts w:ascii="宋体" w:hAnsi="宋体" w:cs="宋体"/>
                <w:color w:val="auto"/>
                <w:highlight w:val="none"/>
              </w:rPr>
            </w:pPr>
            <w:r>
              <w:rPr>
                <w:rFonts w:hint="eastAsia" w:ascii="宋体" w:hAnsi="宋体" w:cs="宋体"/>
                <w:color w:val="auto"/>
                <w:highlight w:val="none"/>
              </w:rPr>
              <w:t>27</w:t>
            </w:r>
          </w:p>
        </w:tc>
        <w:tc>
          <w:tcPr>
            <w:tcW w:w="2494" w:type="dxa"/>
            <w:vAlign w:val="center"/>
          </w:tcPr>
          <w:p>
            <w:pPr>
              <w:shd w:val="clear"/>
              <w:adjustRightInd w:val="0"/>
              <w:snapToGrid w:val="0"/>
              <w:spacing w:before="120" w:beforeLines="5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是否允许递交备选投标方案</w:t>
            </w:r>
          </w:p>
        </w:tc>
        <w:tc>
          <w:tcPr>
            <w:tcW w:w="5770" w:type="dxa"/>
            <w:vAlign w:val="center"/>
          </w:tcPr>
          <w:p>
            <w:pPr>
              <w:shd w:val="clear"/>
              <w:adjustRightInd w:val="0"/>
              <w:snapToGrid w:val="0"/>
              <w:spacing w:before="120" w:beforeLines="50"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62" w:type="dxa"/>
            <w:vAlign w:val="center"/>
          </w:tcPr>
          <w:p>
            <w:pPr>
              <w:shd w:val="clear"/>
              <w:adjustRightInd w:val="0"/>
              <w:snapToGrid w:val="0"/>
              <w:spacing w:before="120" w:beforeLines="50" w:line="360" w:lineRule="auto"/>
              <w:jc w:val="center"/>
              <w:rPr>
                <w:rFonts w:ascii="宋体" w:hAnsi="宋体" w:cs="宋体"/>
                <w:color w:val="auto"/>
                <w:highlight w:val="none"/>
              </w:rPr>
            </w:pPr>
            <w:r>
              <w:rPr>
                <w:rFonts w:hint="eastAsia" w:ascii="宋体" w:hAnsi="宋体" w:cs="宋体"/>
                <w:color w:val="auto"/>
                <w:highlight w:val="none"/>
              </w:rPr>
              <w:t>28</w:t>
            </w:r>
          </w:p>
        </w:tc>
        <w:tc>
          <w:tcPr>
            <w:tcW w:w="2494" w:type="dxa"/>
            <w:vAlign w:val="center"/>
          </w:tcPr>
          <w:p>
            <w:pPr>
              <w:shd w:val="clear"/>
              <w:adjustRightInd w:val="0"/>
              <w:snapToGrid w:val="0"/>
              <w:spacing w:before="120" w:beforeLines="5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签字或盖章要求</w:t>
            </w:r>
          </w:p>
        </w:tc>
        <w:tc>
          <w:tcPr>
            <w:tcW w:w="5770" w:type="dxa"/>
            <w:vAlign w:val="center"/>
          </w:tcPr>
          <w:p>
            <w:pPr>
              <w:shd w:val="clear"/>
              <w:adjustRightInd w:val="0"/>
              <w:snapToGrid w:val="0"/>
              <w:spacing w:before="120" w:beforeLines="50"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62" w:type="dxa"/>
            <w:vAlign w:val="center"/>
          </w:tcPr>
          <w:p>
            <w:pPr>
              <w:shd w:val="clear"/>
              <w:adjustRightInd w:val="0"/>
              <w:snapToGrid w:val="0"/>
              <w:spacing w:before="120" w:beforeLines="50" w:line="360" w:lineRule="auto"/>
              <w:jc w:val="center"/>
              <w:rPr>
                <w:rFonts w:ascii="宋体" w:hAnsi="宋体" w:cs="宋体"/>
                <w:color w:val="auto"/>
                <w:highlight w:val="none"/>
              </w:rPr>
            </w:pPr>
            <w:r>
              <w:rPr>
                <w:rFonts w:hint="eastAsia" w:ascii="宋体" w:hAnsi="宋体" w:cs="宋体"/>
                <w:color w:val="auto"/>
                <w:highlight w:val="none"/>
              </w:rPr>
              <w:t>29</w:t>
            </w:r>
          </w:p>
        </w:tc>
        <w:tc>
          <w:tcPr>
            <w:tcW w:w="2494" w:type="dxa"/>
            <w:vAlign w:val="center"/>
          </w:tcPr>
          <w:p>
            <w:pPr>
              <w:shd w:val="clear"/>
              <w:adjustRightInd w:val="0"/>
              <w:snapToGrid w:val="0"/>
              <w:spacing w:before="120" w:beforeLines="5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响应文件份数</w:t>
            </w:r>
          </w:p>
        </w:tc>
        <w:tc>
          <w:tcPr>
            <w:tcW w:w="5770" w:type="dxa"/>
            <w:vAlign w:val="center"/>
          </w:tcPr>
          <w:p>
            <w:pPr>
              <w:shd w:val="clear"/>
              <w:adjustRightInd w:val="0"/>
              <w:snapToGrid w:val="0"/>
              <w:spacing w:before="120" w:beforeLines="50"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正本一份，副本四份。 电子版（U 盘）1 份。投标响应文件“正本”与“副本”分别封装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62" w:type="dxa"/>
            <w:vAlign w:val="center"/>
          </w:tcPr>
          <w:p>
            <w:pPr>
              <w:shd w:val="clear"/>
              <w:adjustRightInd w:val="0"/>
              <w:snapToGrid w:val="0"/>
              <w:spacing w:before="120" w:beforeLines="50" w:line="360" w:lineRule="auto"/>
              <w:jc w:val="center"/>
              <w:rPr>
                <w:rFonts w:ascii="宋体" w:hAnsi="宋体" w:cs="宋体"/>
                <w:color w:val="auto"/>
                <w:highlight w:val="none"/>
              </w:rPr>
            </w:pPr>
            <w:r>
              <w:rPr>
                <w:rFonts w:hint="eastAsia" w:ascii="宋体" w:hAnsi="宋体" w:cs="宋体"/>
                <w:color w:val="auto"/>
                <w:highlight w:val="none"/>
              </w:rPr>
              <w:t>30</w:t>
            </w:r>
          </w:p>
        </w:tc>
        <w:tc>
          <w:tcPr>
            <w:tcW w:w="2494" w:type="dxa"/>
            <w:vAlign w:val="center"/>
          </w:tcPr>
          <w:p>
            <w:pPr>
              <w:shd w:val="clear"/>
              <w:adjustRightInd w:val="0"/>
              <w:snapToGrid w:val="0"/>
              <w:spacing w:before="120" w:beforeLines="5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递交响应文件地点</w:t>
            </w:r>
          </w:p>
        </w:tc>
        <w:tc>
          <w:tcPr>
            <w:tcW w:w="5770" w:type="dxa"/>
            <w:vAlign w:val="center"/>
          </w:tcPr>
          <w:p>
            <w:pPr>
              <w:shd w:val="clear"/>
              <w:adjustRightInd w:val="0"/>
              <w:snapToGrid w:val="0"/>
              <w:spacing w:before="120" w:beforeLines="50" w:line="360" w:lineRule="auto"/>
              <w:jc w:val="left"/>
              <w:rPr>
                <w:rFonts w:hint="default" w:ascii="仿宋" w:hAnsi="仿宋" w:eastAsia="仿宋" w:cs="仿宋"/>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同开标地点。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62" w:type="dxa"/>
            <w:vAlign w:val="center"/>
          </w:tcPr>
          <w:p>
            <w:pPr>
              <w:shd w:val="clear"/>
              <w:adjustRightInd w:val="0"/>
              <w:snapToGrid w:val="0"/>
              <w:spacing w:before="120" w:beforeLines="50" w:line="360" w:lineRule="auto"/>
              <w:jc w:val="center"/>
              <w:rPr>
                <w:rFonts w:ascii="宋体" w:hAnsi="宋体" w:cs="宋体"/>
                <w:color w:val="auto"/>
                <w:highlight w:val="none"/>
              </w:rPr>
            </w:pPr>
            <w:r>
              <w:rPr>
                <w:rFonts w:hint="eastAsia" w:ascii="宋体" w:hAnsi="宋体" w:cs="宋体"/>
                <w:color w:val="auto"/>
                <w:highlight w:val="none"/>
              </w:rPr>
              <w:t>31</w:t>
            </w:r>
          </w:p>
        </w:tc>
        <w:tc>
          <w:tcPr>
            <w:tcW w:w="2494" w:type="dxa"/>
            <w:vAlign w:val="center"/>
          </w:tcPr>
          <w:p>
            <w:pPr>
              <w:shd w:val="clear"/>
              <w:adjustRightInd w:val="0"/>
              <w:snapToGrid w:val="0"/>
              <w:spacing w:before="120" w:beforeLines="5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是否退还响应文件</w:t>
            </w:r>
          </w:p>
        </w:tc>
        <w:tc>
          <w:tcPr>
            <w:tcW w:w="5770" w:type="dxa"/>
            <w:vAlign w:val="center"/>
          </w:tcPr>
          <w:p>
            <w:pPr>
              <w:shd w:val="clear"/>
              <w:adjustRightInd w:val="0"/>
              <w:snapToGrid w:val="0"/>
              <w:spacing w:before="120" w:beforeLines="50"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62" w:type="dxa"/>
            <w:vAlign w:val="center"/>
          </w:tcPr>
          <w:p>
            <w:pPr>
              <w:shd w:val="clear"/>
              <w:adjustRightInd w:val="0"/>
              <w:snapToGrid w:val="0"/>
              <w:spacing w:before="120" w:beforeLines="50" w:line="360" w:lineRule="auto"/>
              <w:jc w:val="center"/>
              <w:rPr>
                <w:rFonts w:ascii="宋体" w:hAnsi="宋体" w:cs="宋体"/>
                <w:color w:val="auto"/>
                <w:highlight w:val="none"/>
              </w:rPr>
            </w:pPr>
            <w:r>
              <w:rPr>
                <w:rFonts w:hint="eastAsia" w:ascii="宋体" w:hAnsi="宋体" w:cs="宋体"/>
                <w:color w:val="auto"/>
                <w:highlight w:val="none"/>
              </w:rPr>
              <w:t>32</w:t>
            </w:r>
          </w:p>
        </w:tc>
        <w:tc>
          <w:tcPr>
            <w:tcW w:w="2494" w:type="dxa"/>
            <w:vAlign w:val="center"/>
          </w:tcPr>
          <w:p>
            <w:pPr>
              <w:shd w:val="clear"/>
              <w:adjustRightInd w:val="0"/>
              <w:snapToGrid w:val="0"/>
              <w:spacing w:before="120" w:beforeLines="5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开标时间和地点</w:t>
            </w:r>
          </w:p>
        </w:tc>
        <w:tc>
          <w:tcPr>
            <w:tcW w:w="5770" w:type="dxa"/>
            <w:vAlign w:val="center"/>
          </w:tcPr>
          <w:p>
            <w:pPr>
              <w:shd w:val="clear"/>
              <w:adjustRightInd w:val="0"/>
              <w:snapToGrid w:val="0"/>
              <w:spacing w:before="120" w:beforeLines="50"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开标时间：同投标截止时间</w:t>
            </w:r>
          </w:p>
          <w:p>
            <w:pPr>
              <w:shd w:val="clear"/>
              <w:adjustRightInd w:val="0"/>
              <w:snapToGrid w:val="0"/>
              <w:spacing w:before="120" w:beforeLines="50"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开标地点：同递交响应文件地点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62" w:type="dxa"/>
            <w:vAlign w:val="center"/>
          </w:tcPr>
          <w:p>
            <w:pPr>
              <w:shd w:val="clear"/>
              <w:adjustRightInd w:val="0"/>
              <w:snapToGrid w:val="0"/>
              <w:spacing w:before="120" w:beforeLines="50" w:line="360" w:lineRule="auto"/>
              <w:jc w:val="center"/>
              <w:rPr>
                <w:rFonts w:ascii="宋体" w:hAnsi="宋体" w:cs="宋体"/>
                <w:color w:val="auto"/>
                <w:highlight w:val="none"/>
              </w:rPr>
            </w:pPr>
            <w:r>
              <w:rPr>
                <w:rFonts w:hint="eastAsia" w:ascii="宋体" w:hAnsi="宋体" w:cs="宋体"/>
                <w:color w:val="auto"/>
                <w:highlight w:val="none"/>
              </w:rPr>
              <w:t>33</w:t>
            </w:r>
          </w:p>
        </w:tc>
        <w:tc>
          <w:tcPr>
            <w:tcW w:w="2494" w:type="dxa"/>
            <w:vAlign w:val="center"/>
          </w:tcPr>
          <w:p>
            <w:pPr>
              <w:shd w:val="clear"/>
              <w:adjustRightInd w:val="0"/>
              <w:snapToGrid w:val="0"/>
              <w:spacing w:before="120" w:beforeLines="5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开标程序</w:t>
            </w:r>
          </w:p>
        </w:tc>
        <w:tc>
          <w:tcPr>
            <w:tcW w:w="5770" w:type="dxa"/>
            <w:vAlign w:val="center"/>
          </w:tcPr>
          <w:p>
            <w:pPr>
              <w:shd w:val="clear"/>
              <w:adjustRightInd w:val="0"/>
              <w:snapToGrid w:val="0"/>
              <w:spacing w:before="120" w:beforeLines="50"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投标单位法定代表人或其授权委托代理人可持本人身份证、委托代理人需持有授权委托书参加开标会。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62" w:type="dxa"/>
            <w:vAlign w:val="center"/>
          </w:tcPr>
          <w:p>
            <w:pPr>
              <w:shd w:val="clear"/>
              <w:adjustRightInd w:val="0"/>
              <w:snapToGrid w:val="0"/>
              <w:spacing w:before="120" w:beforeLines="50" w:line="360" w:lineRule="auto"/>
              <w:jc w:val="center"/>
              <w:rPr>
                <w:rFonts w:ascii="宋体" w:hAnsi="宋体" w:cs="宋体"/>
                <w:color w:val="auto"/>
                <w:highlight w:val="none"/>
              </w:rPr>
            </w:pPr>
            <w:r>
              <w:rPr>
                <w:rFonts w:hint="eastAsia" w:ascii="宋体" w:hAnsi="宋体" w:cs="宋体"/>
                <w:color w:val="auto"/>
                <w:highlight w:val="none"/>
              </w:rPr>
              <w:t>34</w:t>
            </w:r>
          </w:p>
        </w:tc>
        <w:tc>
          <w:tcPr>
            <w:tcW w:w="2494" w:type="dxa"/>
            <w:vAlign w:val="center"/>
          </w:tcPr>
          <w:p>
            <w:pPr>
              <w:shd w:val="clear"/>
              <w:adjustRightInd w:val="0"/>
              <w:snapToGrid w:val="0"/>
              <w:spacing w:before="120" w:beforeLines="5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竞争性谈判小组的组建</w:t>
            </w:r>
          </w:p>
        </w:tc>
        <w:tc>
          <w:tcPr>
            <w:tcW w:w="5770" w:type="dxa"/>
            <w:vAlign w:val="center"/>
          </w:tcPr>
          <w:p>
            <w:pPr>
              <w:shd w:val="clear"/>
              <w:adjustRightInd w:val="0"/>
              <w:snapToGrid w:val="0"/>
              <w:spacing w:before="120" w:beforeLines="50" w:line="360" w:lineRule="auto"/>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竞争性谈判小组构成：3人或以上单数，其中经济、技术等方面的专家不少于成员总数的三分之二</w:t>
            </w:r>
            <w:r>
              <w:rPr>
                <w:rFonts w:hint="eastAsia" w:ascii="仿宋" w:hAnsi="仿宋" w:eastAsia="仿宋" w:cs="仿宋"/>
                <w:color w:val="auto"/>
                <w:sz w:val="28"/>
                <w:szCs w:val="28"/>
                <w:highlight w:val="none"/>
                <w:lang w:eastAsia="zh-CN"/>
              </w:rPr>
              <w:t>。</w:t>
            </w:r>
          </w:p>
          <w:p>
            <w:pPr>
              <w:shd w:val="clear"/>
              <w:adjustRightInd w:val="0"/>
              <w:snapToGrid w:val="0"/>
              <w:spacing w:before="120" w:beforeLines="50" w:line="360" w:lineRule="auto"/>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评标专家确定方式：从安徽省评标专家库中随机抽取</w:t>
            </w:r>
            <w:r>
              <w:rPr>
                <w:rFonts w:hint="eastAsia" w:ascii="仿宋" w:hAnsi="仿宋" w:eastAsia="仿宋" w:cs="仿宋"/>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62" w:type="dxa"/>
            <w:vAlign w:val="center"/>
          </w:tcPr>
          <w:p>
            <w:pPr>
              <w:shd w:val="clear"/>
              <w:adjustRightInd w:val="0"/>
              <w:snapToGrid w:val="0"/>
              <w:spacing w:before="120" w:beforeLines="50" w:line="360" w:lineRule="auto"/>
              <w:jc w:val="center"/>
              <w:rPr>
                <w:rFonts w:ascii="宋体" w:hAnsi="宋体" w:cs="宋体"/>
                <w:color w:val="auto"/>
                <w:highlight w:val="none"/>
              </w:rPr>
            </w:pPr>
            <w:r>
              <w:rPr>
                <w:rFonts w:hint="eastAsia" w:ascii="宋体" w:hAnsi="宋体" w:cs="宋体"/>
                <w:color w:val="auto"/>
                <w:highlight w:val="none"/>
              </w:rPr>
              <w:t>35</w:t>
            </w:r>
          </w:p>
        </w:tc>
        <w:tc>
          <w:tcPr>
            <w:tcW w:w="2494" w:type="dxa"/>
            <w:vAlign w:val="center"/>
          </w:tcPr>
          <w:p>
            <w:pPr>
              <w:shd w:val="clear"/>
              <w:adjustRightInd w:val="0"/>
              <w:snapToGrid w:val="0"/>
              <w:spacing w:before="120" w:beforeLines="5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是否授权竞争性谈判小组确定成交供应商</w:t>
            </w:r>
          </w:p>
        </w:tc>
        <w:tc>
          <w:tcPr>
            <w:tcW w:w="5770" w:type="dxa"/>
            <w:vAlign w:val="center"/>
          </w:tcPr>
          <w:p>
            <w:pPr>
              <w:shd w:val="clear"/>
              <w:adjustRightInd w:val="0"/>
              <w:snapToGrid w:val="0"/>
              <w:spacing w:before="120" w:beforeLines="50"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由竞争性谈判小组根据综合评审结果推荐前1～3名为成交候选人，由采购人依法确定成交供应商。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62" w:type="dxa"/>
            <w:vAlign w:val="center"/>
          </w:tcPr>
          <w:p>
            <w:pPr>
              <w:shd w:val="clear"/>
              <w:adjustRightInd w:val="0"/>
              <w:snapToGrid w:val="0"/>
              <w:spacing w:before="120" w:beforeLines="50" w:line="360" w:lineRule="auto"/>
              <w:jc w:val="center"/>
              <w:rPr>
                <w:rFonts w:ascii="宋体" w:hAnsi="宋体" w:cs="宋体"/>
                <w:color w:val="auto"/>
                <w:highlight w:val="none"/>
              </w:rPr>
            </w:pPr>
            <w:r>
              <w:rPr>
                <w:rFonts w:hint="eastAsia" w:ascii="宋体" w:hAnsi="宋体" w:cs="宋体"/>
                <w:color w:val="auto"/>
                <w:highlight w:val="none"/>
              </w:rPr>
              <w:t>36</w:t>
            </w:r>
          </w:p>
        </w:tc>
        <w:tc>
          <w:tcPr>
            <w:tcW w:w="2494" w:type="dxa"/>
            <w:vAlign w:val="center"/>
          </w:tcPr>
          <w:p>
            <w:pPr>
              <w:shd w:val="clear"/>
              <w:adjustRightInd w:val="0"/>
              <w:snapToGrid w:val="0"/>
              <w:spacing w:before="120" w:beforeLines="5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履约担保</w:t>
            </w:r>
          </w:p>
        </w:tc>
        <w:tc>
          <w:tcPr>
            <w:tcW w:w="5770" w:type="dxa"/>
            <w:vAlign w:val="center"/>
          </w:tcPr>
          <w:p>
            <w:pPr>
              <w:shd w:val="clear"/>
              <w:adjustRightInd w:val="0"/>
              <w:snapToGrid w:val="0"/>
              <w:spacing w:before="120" w:beforeLines="50"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62" w:type="dxa"/>
            <w:vAlign w:val="center"/>
          </w:tcPr>
          <w:p>
            <w:pPr>
              <w:shd w:val="clear"/>
              <w:adjustRightInd w:val="0"/>
              <w:snapToGrid w:val="0"/>
              <w:spacing w:before="120" w:beforeLines="50" w:line="360" w:lineRule="auto"/>
              <w:jc w:val="center"/>
              <w:rPr>
                <w:rFonts w:ascii="宋体" w:hAnsi="宋体" w:cs="宋体"/>
                <w:color w:val="auto"/>
                <w:highlight w:val="none"/>
              </w:rPr>
            </w:pPr>
            <w:r>
              <w:rPr>
                <w:rFonts w:hint="eastAsia" w:ascii="宋体" w:hAnsi="宋体" w:cs="宋体"/>
                <w:color w:val="auto"/>
                <w:highlight w:val="none"/>
              </w:rPr>
              <w:t>37</w:t>
            </w:r>
          </w:p>
        </w:tc>
        <w:tc>
          <w:tcPr>
            <w:tcW w:w="2494" w:type="dxa"/>
            <w:vAlign w:val="center"/>
          </w:tcPr>
          <w:p>
            <w:pPr>
              <w:shd w:val="clear"/>
              <w:adjustRightInd w:val="0"/>
              <w:snapToGrid w:val="0"/>
              <w:spacing w:before="120" w:beforeLines="5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最高投标限价</w:t>
            </w:r>
          </w:p>
        </w:tc>
        <w:tc>
          <w:tcPr>
            <w:tcW w:w="5770" w:type="dxa"/>
            <w:vAlign w:val="center"/>
          </w:tcPr>
          <w:p>
            <w:pPr>
              <w:shd w:val="clear"/>
              <w:adjustRightInd w:val="0"/>
              <w:snapToGrid w:val="0"/>
              <w:spacing w:before="120" w:beforeLines="50" w:line="360" w:lineRule="auto"/>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详见</w:t>
            </w:r>
            <w:r>
              <w:rPr>
                <w:rFonts w:hint="eastAsia" w:ascii="仿宋" w:hAnsi="仿宋" w:eastAsia="仿宋" w:cs="仿宋"/>
                <w:color w:val="auto"/>
                <w:sz w:val="28"/>
                <w:szCs w:val="28"/>
                <w:highlight w:val="none"/>
                <w:lang w:eastAsia="zh-CN"/>
              </w:rPr>
              <w:t>竞争性谈判公告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62" w:type="dxa"/>
            <w:vAlign w:val="center"/>
          </w:tcPr>
          <w:p>
            <w:pPr>
              <w:shd w:val="clear"/>
              <w:adjustRightInd w:val="0"/>
              <w:snapToGrid w:val="0"/>
              <w:spacing w:before="120" w:beforeLines="50" w:line="360" w:lineRule="auto"/>
              <w:jc w:val="center"/>
              <w:rPr>
                <w:rFonts w:ascii="宋体" w:hAnsi="宋体" w:cs="宋体"/>
                <w:color w:val="auto"/>
                <w:highlight w:val="none"/>
              </w:rPr>
            </w:pPr>
            <w:r>
              <w:rPr>
                <w:rFonts w:hint="eastAsia" w:ascii="宋体" w:hAnsi="宋体" w:cs="宋体"/>
                <w:color w:val="auto"/>
                <w:highlight w:val="none"/>
              </w:rPr>
              <w:t>38</w:t>
            </w:r>
          </w:p>
        </w:tc>
        <w:tc>
          <w:tcPr>
            <w:tcW w:w="2494" w:type="dxa"/>
            <w:vAlign w:val="center"/>
          </w:tcPr>
          <w:p>
            <w:pPr>
              <w:shd w:val="clear"/>
              <w:adjustRightInd w:val="0"/>
              <w:snapToGrid w:val="0"/>
              <w:spacing w:before="120" w:beforeLines="5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采购代理服务费</w:t>
            </w:r>
          </w:p>
        </w:tc>
        <w:tc>
          <w:tcPr>
            <w:tcW w:w="5770" w:type="dxa"/>
            <w:vAlign w:val="center"/>
          </w:tcPr>
          <w:p>
            <w:pPr>
              <w:shd w:val="clear"/>
              <w:tabs>
                <w:tab w:val="left" w:pos="7980"/>
              </w:tabs>
              <w:adjustRightInd w:val="0"/>
              <w:snapToGrid w:val="0"/>
              <w:spacing w:before="120" w:beforeLines="50" w:line="30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1、本项目招标代理服务费等相关费用经招标人同意，由中标人支付给招标代理机构。</w:t>
            </w:r>
          </w:p>
          <w:p>
            <w:pPr>
              <w:shd w:val="clear"/>
              <w:tabs>
                <w:tab w:val="left" w:pos="7980"/>
              </w:tabs>
              <w:adjustRightInd w:val="0"/>
              <w:snapToGrid w:val="0"/>
              <w:spacing w:before="120" w:beforeLines="50" w:line="30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招标代理服务收费，以中标价为基数，按原国家计委《招标代理服务收费管理暂行办法》（2002）1980号规定计取；专家推荐供应商评审费及开标现场专家评标评审费按实际产生的费用，由中标方支付，中标人在领取中标通知书时交至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62" w:type="dxa"/>
            <w:vAlign w:val="center"/>
          </w:tcPr>
          <w:p>
            <w:pPr>
              <w:shd w:val="clear"/>
              <w:adjustRightInd w:val="0"/>
              <w:snapToGrid w:val="0"/>
              <w:spacing w:before="120" w:beforeLines="50" w:line="360" w:lineRule="auto"/>
              <w:jc w:val="center"/>
              <w:rPr>
                <w:rFonts w:ascii="宋体" w:hAnsi="宋体" w:cs="宋体"/>
                <w:color w:val="auto"/>
                <w:highlight w:val="none"/>
              </w:rPr>
            </w:pPr>
            <w:r>
              <w:rPr>
                <w:rFonts w:hint="eastAsia" w:ascii="宋体" w:hAnsi="宋体" w:cs="宋体"/>
                <w:color w:val="auto"/>
                <w:highlight w:val="none"/>
              </w:rPr>
              <w:t>39</w:t>
            </w:r>
          </w:p>
        </w:tc>
        <w:tc>
          <w:tcPr>
            <w:tcW w:w="2494" w:type="dxa"/>
            <w:vAlign w:val="center"/>
          </w:tcPr>
          <w:p>
            <w:pPr>
              <w:shd w:val="clear"/>
              <w:adjustRightInd w:val="0"/>
              <w:snapToGrid w:val="0"/>
              <w:spacing w:before="120" w:beforeLines="5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付款方式</w:t>
            </w:r>
          </w:p>
        </w:tc>
        <w:tc>
          <w:tcPr>
            <w:tcW w:w="5770" w:type="dxa"/>
            <w:vAlign w:val="center"/>
          </w:tcPr>
          <w:p>
            <w:pPr>
              <w:shd w:val="clear"/>
              <w:adjustRightInd w:val="0"/>
              <w:snapToGrid w:val="0"/>
              <w:spacing w:before="120" w:beforeLines="50" w:line="360" w:lineRule="auto"/>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按合同约定支付。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62" w:type="dxa"/>
            <w:vAlign w:val="center"/>
          </w:tcPr>
          <w:p>
            <w:pPr>
              <w:shd w:val="clear"/>
              <w:adjustRightInd w:val="0"/>
              <w:snapToGrid w:val="0"/>
              <w:spacing w:before="120" w:beforeLines="50" w:line="360" w:lineRule="auto"/>
              <w:jc w:val="center"/>
              <w:rPr>
                <w:rFonts w:ascii="宋体" w:hAnsi="宋体" w:cs="宋体"/>
                <w:color w:val="auto"/>
                <w:highlight w:val="none"/>
              </w:rPr>
            </w:pPr>
            <w:r>
              <w:rPr>
                <w:rFonts w:hint="eastAsia" w:ascii="宋体" w:hAnsi="宋体" w:cs="宋体"/>
                <w:color w:val="auto"/>
                <w:highlight w:val="none"/>
              </w:rPr>
              <w:t>40</w:t>
            </w:r>
          </w:p>
        </w:tc>
        <w:tc>
          <w:tcPr>
            <w:tcW w:w="2494" w:type="dxa"/>
            <w:vAlign w:val="center"/>
          </w:tcPr>
          <w:p>
            <w:pPr>
              <w:shd w:val="clear"/>
              <w:adjustRightInd w:val="0"/>
              <w:snapToGrid w:val="0"/>
              <w:spacing w:before="120" w:beforeLines="5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其他要求</w:t>
            </w:r>
          </w:p>
        </w:tc>
        <w:tc>
          <w:tcPr>
            <w:tcW w:w="5770" w:type="dxa"/>
            <w:vAlign w:val="center"/>
          </w:tcPr>
          <w:p>
            <w:pPr>
              <w:shd w:val="clear"/>
              <w:adjustRightInd w:val="0"/>
              <w:snapToGrid w:val="0"/>
              <w:spacing w:before="120" w:beforeLines="50"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1、成交供应商须在领取中标通知书7日内与业主签订合同（逾期未签视为放弃中标资格）</w:t>
            </w:r>
            <w:r>
              <w:rPr>
                <w:rFonts w:hint="eastAsia" w:ascii="仿宋" w:hAnsi="仿宋" w:eastAsia="仿宋" w:cs="仿宋"/>
                <w:color w:val="auto"/>
                <w:sz w:val="28"/>
                <w:szCs w:val="28"/>
                <w:highlight w:val="none"/>
              </w:rPr>
              <w:t>。</w:t>
            </w:r>
          </w:p>
          <w:p>
            <w:pPr>
              <w:shd w:val="clear"/>
              <w:adjustRightInd w:val="0"/>
              <w:snapToGrid w:val="0"/>
              <w:spacing w:before="120" w:beforeLines="50" w:line="360" w:lineRule="auto"/>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2、本竞争性谈判文件解释权归采购人所有，由采购人负责解释。</w:t>
            </w:r>
          </w:p>
          <w:p>
            <w:pPr>
              <w:shd w:val="clear"/>
              <w:adjustRightInd w:val="0"/>
              <w:snapToGrid w:val="0"/>
              <w:spacing w:before="120" w:beforeLines="50"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3、如竞争性谈判文件中出现前后不一致的描述，各章节解释优先顺序依次为供应商须知前附表＞评标办法＞竞争性谈判文件其他内容。章节内优先顺序为：表格内文字约定效力优先于非表格文字约定效力。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3" w:hRule="atLeast"/>
          <w:jc w:val="center"/>
        </w:trPr>
        <w:tc>
          <w:tcPr>
            <w:tcW w:w="662" w:type="dxa"/>
            <w:vAlign w:val="center"/>
          </w:tcPr>
          <w:p>
            <w:pPr>
              <w:shd w:val="clear"/>
              <w:adjustRightInd w:val="0"/>
              <w:snapToGrid w:val="0"/>
              <w:spacing w:before="120" w:beforeLines="50" w:line="360" w:lineRule="auto"/>
              <w:jc w:val="center"/>
              <w:rPr>
                <w:rFonts w:ascii="宋体" w:hAnsi="宋体" w:cs="宋体"/>
                <w:color w:val="auto"/>
                <w:highlight w:val="none"/>
              </w:rPr>
            </w:pPr>
            <w:r>
              <w:rPr>
                <w:rFonts w:hint="eastAsia" w:ascii="宋体" w:hAnsi="宋体" w:cs="宋体"/>
                <w:color w:val="auto"/>
                <w:highlight w:val="none"/>
              </w:rPr>
              <w:t>41</w:t>
            </w:r>
          </w:p>
        </w:tc>
        <w:tc>
          <w:tcPr>
            <w:tcW w:w="2494" w:type="dxa"/>
            <w:vAlign w:val="center"/>
          </w:tcPr>
          <w:p>
            <w:pPr>
              <w:shd w:val="clear"/>
              <w:adjustRightInd w:val="0"/>
              <w:snapToGrid w:val="0"/>
              <w:spacing w:before="120" w:beforeLines="5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知识产权</w:t>
            </w:r>
          </w:p>
        </w:tc>
        <w:tc>
          <w:tcPr>
            <w:tcW w:w="5770" w:type="dxa"/>
            <w:vAlign w:val="center"/>
          </w:tcPr>
          <w:p>
            <w:pPr>
              <w:shd w:val="clear"/>
              <w:adjustRightInd w:val="0"/>
              <w:snapToGrid w:val="0"/>
              <w:spacing w:before="120" w:beforeLines="50"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须保障采购人在使用该服务或其任何一部分时不受到第三方关于侵犯专利权、商标权等知识产权的指控。如果任何第三方提出侵权指控与采购人无关，供应商须与第三方交涉并承担可能发生的责任与一切费用。如采购人因此而遭致损失的，供应商应赔偿该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62" w:type="dxa"/>
            <w:vAlign w:val="center"/>
          </w:tcPr>
          <w:p>
            <w:pPr>
              <w:shd w:val="clear"/>
              <w:adjustRightInd w:val="0"/>
              <w:snapToGrid w:val="0"/>
              <w:spacing w:before="120" w:beforeLines="50" w:line="360" w:lineRule="auto"/>
              <w:jc w:val="center"/>
              <w:rPr>
                <w:rFonts w:hint="eastAsia" w:ascii="宋体" w:hAnsi="宋体" w:eastAsia="宋体" w:cs="宋体"/>
                <w:color w:val="auto"/>
                <w:highlight w:val="none"/>
                <w:lang w:val="en-US" w:eastAsia="zh-CN"/>
              </w:rPr>
            </w:pPr>
            <w:r>
              <w:rPr>
                <w:rFonts w:hint="eastAsia" w:ascii="宋体" w:hAnsi="宋体" w:cs="宋体"/>
                <w:color w:val="auto"/>
                <w:highlight w:val="none"/>
              </w:rPr>
              <w:t>4</w:t>
            </w:r>
            <w:r>
              <w:rPr>
                <w:rFonts w:hint="eastAsia" w:ascii="宋体" w:hAnsi="宋体" w:cs="宋体"/>
                <w:color w:val="auto"/>
                <w:highlight w:val="none"/>
                <w:lang w:val="en-US" w:eastAsia="zh-CN"/>
              </w:rPr>
              <w:t>2</w:t>
            </w:r>
          </w:p>
        </w:tc>
        <w:tc>
          <w:tcPr>
            <w:tcW w:w="2494" w:type="dxa"/>
            <w:vAlign w:val="center"/>
          </w:tcPr>
          <w:p>
            <w:pPr>
              <w:shd w:val="clear"/>
              <w:adjustRightInd w:val="0"/>
              <w:snapToGrid w:val="0"/>
              <w:spacing w:before="120" w:beforeLines="50" w:line="360" w:lineRule="auto"/>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联合惩戒</w:t>
            </w:r>
          </w:p>
        </w:tc>
        <w:tc>
          <w:tcPr>
            <w:tcW w:w="5770" w:type="dxa"/>
            <w:vAlign w:val="center"/>
          </w:tcPr>
          <w:p>
            <w:pPr>
              <w:widowControl/>
              <w:shd w:val="clear"/>
              <w:adjustRightInd w:val="0"/>
              <w:snapToGrid w:val="0"/>
              <w:spacing w:before="120" w:beforeLines="50"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成交供应商不得存在以下几种情形，否则中标后将取消中标资格，投标保证金不予退还：</w:t>
            </w:r>
          </w:p>
          <w:p>
            <w:pPr>
              <w:widowControl/>
              <w:shd w:val="clear"/>
              <w:adjustRightInd w:val="0"/>
              <w:snapToGrid w:val="0"/>
              <w:spacing w:before="120" w:beforeLines="50"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1、被公共资源交易监督管理部门在本项目所在地限制投标，且在有效期内的（以相关行业主管部门的行政处罚决定、处理通报文件或司法机关出具的有关法律文书为准）；</w:t>
            </w:r>
          </w:p>
          <w:p>
            <w:pPr>
              <w:widowControl/>
              <w:shd w:val="clear"/>
              <w:adjustRightInd w:val="0"/>
              <w:snapToGrid w:val="0"/>
              <w:spacing w:before="120" w:beforeLines="50"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2、被国家税务总局列入“重大税收违法案件当事人”名单。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62" w:type="dxa"/>
            <w:vAlign w:val="center"/>
          </w:tcPr>
          <w:p>
            <w:pPr>
              <w:shd w:val="clear"/>
              <w:spacing w:before="120" w:beforeLines="50" w:line="360" w:lineRule="auto"/>
              <w:jc w:val="center"/>
              <w:rPr>
                <w:rFonts w:hint="eastAsia" w:ascii="宋体" w:hAnsi="宋体" w:eastAsia="宋体" w:cs="宋体"/>
                <w:color w:val="auto"/>
                <w:highlight w:val="none"/>
                <w:lang w:eastAsia="zh-CN"/>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val="en-US" w:eastAsia="zh-CN"/>
              </w:rPr>
              <w:t>3</w:t>
            </w:r>
          </w:p>
        </w:tc>
        <w:tc>
          <w:tcPr>
            <w:tcW w:w="2494" w:type="dxa"/>
            <w:vAlign w:val="center"/>
          </w:tcPr>
          <w:p>
            <w:pPr>
              <w:shd w:val="clear"/>
              <w:adjustRightInd w:val="0"/>
              <w:snapToGrid w:val="0"/>
              <w:spacing w:before="120" w:beforeLines="50" w:line="360" w:lineRule="auto"/>
              <w:jc w:val="center"/>
              <w:rPr>
                <w:rFonts w:hint="eastAsia" w:ascii="仿宋" w:hAnsi="仿宋" w:eastAsia="仿宋" w:cs="仿宋"/>
                <w:bCs/>
                <w:color w:val="auto"/>
                <w:sz w:val="28"/>
                <w:szCs w:val="28"/>
                <w:highlight w:val="none"/>
              </w:rPr>
            </w:pPr>
            <w:r>
              <w:rPr>
                <w:rFonts w:hint="eastAsia" w:ascii="仿宋" w:hAnsi="仿宋" w:eastAsia="仿宋" w:cs="仿宋"/>
                <w:color w:val="auto"/>
                <w:kern w:val="0"/>
                <w:sz w:val="28"/>
                <w:szCs w:val="28"/>
                <w:highlight w:val="none"/>
              </w:rPr>
              <w:t>询标</w:t>
            </w:r>
          </w:p>
        </w:tc>
        <w:tc>
          <w:tcPr>
            <w:tcW w:w="5770" w:type="dxa"/>
            <w:vAlign w:val="center"/>
          </w:tcPr>
          <w:p>
            <w:pPr>
              <w:widowControl/>
              <w:shd w:val="clear"/>
              <w:adjustRightInd w:val="0"/>
              <w:snapToGrid w:val="0"/>
              <w:spacing w:before="120" w:beforeLines="50"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标过程中，请授权委托人在评标等候区等候，保持通讯工具畅通。供应商接询标电话15分钟内到达询标现场，并在到场15分钟完成询标函回复（询标函回复必须手写并由授权代表人签字），否则默认为供应商认可询标内容情况属实。</w:t>
            </w:r>
          </w:p>
        </w:tc>
      </w:tr>
    </w:tbl>
    <w:p>
      <w:pPr>
        <w:shd w:val="clear"/>
        <w:adjustRightInd w:val="0"/>
        <w:snapToGrid w:val="0"/>
        <w:rPr>
          <w:rFonts w:ascii="宋体" w:hAnsi="宋体" w:cs="宋体"/>
          <w:color w:val="auto"/>
          <w:highlight w:val="none"/>
        </w:rPr>
      </w:pPr>
    </w:p>
    <w:p>
      <w:pPr>
        <w:pStyle w:val="7"/>
        <w:shd w:val="clear"/>
        <w:adjustRightInd w:val="0"/>
        <w:snapToGrid w:val="0"/>
        <w:rPr>
          <w:color w:val="auto"/>
          <w:highlight w:val="none"/>
        </w:rPr>
      </w:pPr>
      <w:bookmarkStart w:id="7" w:name="_Toc38899129"/>
    </w:p>
    <w:p>
      <w:pPr>
        <w:shd w:val="clear"/>
        <w:rPr>
          <w:rFonts w:hint="eastAsia"/>
          <w:color w:val="auto"/>
          <w:highlight w:val="none"/>
        </w:rPr>
      </w:pPr>
      <w:r>
        <w:rPr>
          <w:rFonts w:hint="eastAsia"/>
          <w:color w:val="auto"/>
          <w:highlight w:val="none"/>
        </w:rPr>
        <w:br w:type="page"/>
      </w:r>
    </w:p>
    <w:bookmarkEnd w:id="5"/>
    <w:bookmarkEnd w:id="6"/>
    <w:p>
      <w:pPr>
        <w:pStyle w:val="7"/>
        <w:shd w:val="clear"/>
        <w:adjustRightInd w:val="0"/>
        <w:snapToGrid w:val="0"/>
        <w:jc w:val="left"/>
        <w:rPr>
          <w:rFonts w:hint="eastAsia" w:ascii="宋体" w:hAnsi="宋体" w:cs="宋体"/>
          <w:color w:val="auto"/>
          <w:highlight w:val="none"/>
          <w:lang w:val="en-US" w:eastAsia="zh-CN"/>
        </w:rPr>
      </w:pPr>
      <w:r>
        <w:rPr>
          <w:rFonts w:hint="eastAsia" w:ascii="宋体" w:hAnsi="宋体" w:cs="宋体"/>
          <w:color w:val="auto"/>
          <w:highlight w:val="none"/>
          <w:lang w:eastAsia="zh-CN"/>
        </w:rPr>
        <w:t>附件</w:t>
      </w:r>
      <w:r>
        <w:rPr>
          <w:rFonts w:hint="eastAsia" w:ascii="宋体" w:hAnsi="宋体" w:cs="宋体"/>
          <w:color w:val="auto"/>
          <w:highlight w:val="none"/>
          <w:lang w:val="en-US" w:eastAsia="zh-CN"/>
        </w:rPr>
        <w:t>2：</w:t>
      </w:r>
    </w:p>
    <w:p>
      <w:pPr>
        <w:pStyle w:val="7"/>
        <w:numPr>
          <w:ilvl w:val="0"/>
          <w:numId w:val="0"/>
        </w:numPr>
        <w:shd w:val="clear"/>
        <w:adjustRightInd w:val="0"/>
        <w:snapToGrid w:val="0"/>
        <w:jc w:val="center"/>
        <w:rPr>
          <w:rFonts w:hint="eastAsia"/>
          <w:color w:val="auto"/>
          <w:highlight w:val="none"/>
          <w:lang w:val="en-US" w:eastAsia="zh-CN"/>
        </w:rPr>
      </w:pPr>
      <w:r>
        <w:rPr>
          <w:rFonts w:hint="eastAsia"/>
          <w:color w:val="auto"/>
          <w:highlight w:val="none"/>
        </w:rPr>
        <w:t>采购需求</w:t>
      </w:r>
      <w:bookmarkEnd w:id="7"/>
      <w:bookmarkStart w:id="8" w:name="_Toc38899130"/>
      <w:bookmarkStart w:id="9" w:name="_Toc407096149"/>
    </w:p>
    <w:p>
      <w:pPr>
        <w:shd w:val="clear"/>
        <w:spacing w:before="158" w:line="332" w:lineRule="auto"/>
        <w:ind w:right="118"/>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一、项目名称：</w:t>
      </w:r>
      <w:r>
        <w:rPr>
          <w:rFonts w:hint="eastAsia" w:ascii="仿宋" w:hAnsi="仿宋" w:eastAsia="仿宋" w:cs="仿宋"/>
          <w:bCs/>
          <w:color w:val="auto"/>
          <w:sz w:val="28"/>
          <w:szCs w:val="28"/>
          <w:highlight w:val="none"/>
          <w:u w:val="none"/>
          <w:lang w:eastAsia="zh-CN"/>
        </w:rPr>
        <w:t>淮南市渔政指挥中心信息化项目</w:t>
      </w:r>
      <w:r>
        <w:rPr>
          <w:rFonts w:hint="eastAsia" w:ascii="仿宋" w:hAnsi="仿宋" w:eastAsia="仿宋" w:cs="仿宋"/>
          <w:bCs/>
          <w:color w:val="auto"/>
          <w:sz w:val="28"/>
          <w:szCs w:val="28"/>
          <w:highlight w:val="none"/>
          <w:u w:val="none"/>
          <w:lang w:val="en-US" w:eastAsia="zh-CN"/>
        </w:rPr>
        <w:t>综合</w:t>
      </w:r>
      <w:r>
        <w:rPr>
          <w:rFonts w:hint="eastAsia" w:ascii="仿宋" w:hAnsi="仿宋" w:eastAsia="仿宋" w:cs="仿宋"/>
          <w:bCs/>
          <w:color w:val="auto"/>
          <w:sz w:val="28"/>
          <w:szCs w:val="28"/>
          <w:highlight w:val="none"/>
          <w:u w:val="none"/>
          <w:lang w:eastAsia="zh-CN"/>
        </w:rPr>
        <w:t>运维服务</w:t>
      </w:r>
      <w:r>
        <w:rPr>
          <w:rFonts w:hint="eastAsia" w:ascii="仿宋" w:hAnsi="仿宋" w:eastAsia="仿宋" w:cs="仿宋"/>
          <w:color w:val="auto"/>
          <w:sz w:val="28"/>
          <w:szCs w:val="28"/>
          <w:highlight w:val="none"/>
          <w:lang w:val="en-US" w:eastAsia="zh-CN"/>
        </w:rPr>
        <w:t>。</w:t>
      </w:r>
    </w:p>
    <w:p>
      <w:pPr>
        <w:shd w:val="clear"/>
        <w:spacing w:before="158" w:line="332" w:lineRule="auto"/>
        <w:ind w:right="118"/>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二、项目概述</w:t>
      </w:r>
    </w:p>
    <w:p>
      <w:pPr>
        <w:keepNext w:val="0"/>
        <w:keepLines w:val="0"/>
        <w:pageBreakBefore w:val="0"/>
        <w:shd w:val="clear"/>
        <w:kinsoku/>
        <w:wordWrap/>
        <w:topLinePunct w:val="0"/>
        <w:autoSpaceDE/>
        <w:autoSpaceDN/>
        <w:bidi w:val="0"/>
        <w:adjustRightInd w:val="0"/>
        <w:snapToGrid w:val="0"/>
        <w:spacing w:line="600" w:lineRule="exact"/>
        <w:ind w:firstLine="560" w:firstLineChars="200"/>
        <w:jc w:val="left"/>
        <w:textAlignment w:val="auto"/>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eastAsia="zh-CN"/>
        </w:rPr>
        <w:t>1、 服务期限: 1095</w:t>
      </w:r>
      <w:r>
        <w:rPr>
          <w:rFonts w:hint="eastAsia" w:ascii="仿宋" w:hAnsi="仿宋" w:eastAsia="仿宋" w:cs="仿宋"/>
          <w:color w:val="auto"/>
          <w:sz w:val="28"/>
          <w:szCs w:val="28"/>
          <w:highlight w:val="none"/>
          <w:lang w:eastAsia="zh-CN"/>
        </w:rPr>
        <w:t>日</w:t>
      </w:r>
      <w:r>
        <w:rPr>
          <w:rFonts w:hint="eastAsia" w:ascii="仿宋" w:hAnsi="仿宋" w:eastAsia="仿宋" w:cs="仿宋"/>
          <w:color w:val="auto"/>
          <w:sz w:val="28"/>
          <w:szCs w:val="28"/>
          <w:highlight w:val="none"/>
          <w:lang w:val="en-US" w:eastAsia="zh-CN"/>
        </w:rPr>
        <w:t>;</w:t>
      </w:r>
    </w:p>
    <w:p>
      <w:pPr>
        <w:shd w:val="clear"/>
        <w:spacing w:before="158" w:line="332" w:lineRule="auto"/>
        <w:ind w:left="18" w:right="118" w:firstLine="576"/>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2、服务地点: 甲方指定地点。</w:t>
      </w:r>
    </w:p>
    <w:p>
      <w:pPr>
        <w:shd w:val="clea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三、运维服务要求</w:t>
      </w:r>
    </w:p>
    <w:p>
      <w:pPr>
        <w:shd w:val="clea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详见采购需求清单。</w:t>
      </w:r>
    </w:p>
    <w:tbl>
      <w:tblPr>
        <w:tblStyle w:val="51"/>
        <w:tblW w:w="1020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8"/>
        <w:gridCol w:w="1683"/>
        <w:gridCol w:w="4601"/>
        <w:gridCol w:w="948"/>
        <w:gridCol w:w="948"/>
        <w:gridCol w:w="10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00" w:type="dxa"/>
            <w:gridSpan w:val="6"/>
            <w:tcBorders>
              <w:top w:val="nil"/>
              <w:left w:val="nil"/>
              <w:bottom w:val="nil"/>
              <w:right w:val="nil"/>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采购需求清单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维保服务</w:t>
            </w:r>
          </w:p>
        </w:tc>
        <w:tc>
          <w:tcPr>
            <w:tcW w:w="5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★1.提供7*24小时服务热线电话，要求服务热线24小时有人接听，有人服务。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.明确至少1名人员在本地做好售后服务对接，不得随意更换人员。提供身份证扫描件及2024年3月以来近3个月的单位社保证明。</w:t>
            </w:r>
          </w:p>
          <w:p>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3</w:t>
            </w:r>
            <w:r>
              <w:rPr>
                <w:rFonts w:hint="eastAsia" w:ascii="宋体" w:hAnsi="宋体" w:eastAsia="宋体" w:cs="宋体"/>
                <w:i w:val="0"/>
                <w:iCs w:val="0"/>
                <w:color w:val="auto"/>
                <w:kern w:val="0"/>
                <w:sz w:val="22"/>
                <w:szCs w:val="22"/>
                <w:highlight w:val="none"/>
                <w:u w:val="none"/>
                <w:lang w:val="en-US" w:eastAsia="zh-CN" w:bidi="ar"/>
              </w:rPr>
              <w:t>.提供维护服务组织构成，维护队伍人员名单。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服务期1095日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日常巡检</w:t>
            </w:r>
          </w:p>
        </w:tc>
        <w:tc>
          <w:tcPr>
            <w:tcW w:w="5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日常巡检维护每年不少于4次，发现问题故障及时报告并完成修复（不含硬件设备质保），确保指挥调度中心各种设备正常运转，无安全隐患。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服务期1095日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设备系统维护</w:t>
            </w:r>
          </w:p>
        </w:tc>
        <w:tc>
          <w:tcPr>
            <w:tcW w:w="5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对渔政指挥调度中心相关设备系统进行维护，确保设备运行正常，具体如下。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1.显示系统：对液晶拼接显示屏、拼接控制矩阵及相关配套设备、电源、线缆进行维护；</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2.发言系统：对双通道无线会议话筒进行维护；</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3.扩声系统：对线性阵列音柱、线性阵列音柱功放、调音台、音频处理器、电源时序管理器及相关线缆进行维护；</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4.视频会议系统：对阵列麦克风、高清摄像机、高清视频会议电视终端进行维护；</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5.业务系统：对显控电脑、硬盘录像机进行维护；</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6.基础配套：对UPS设备、电池、空调、机柜、路由器等设备进行维护；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服务期1095日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网络传输</w:t>
            </w:r>
          </w:p>
        </w:tc>
        <w:tc>
          <w:tcPr>
            <w:tcW w:w="5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提供速度不低于</w:t>
            </w:r>
            <w:r>
              <w:rPr>
                <w:rFonts w:hint="eastAsia" w:ascii="宋体" w:hAnsi="宋体" w:cs="宋体"/>
                <w:i w:val="0"/>
                <w:iCs w:val="0"/>
                <w:color w:val="auto"/>
                <w:kern w:val="0"/>
                <w:sz w:val="22"/>
                <w:szCs w:val="22"/>
                <w:highlight w:val="none"/>
                <w:u w:val="none"/>
                <w:lang w:val="en-US" w:eastAsia="zh-CN" w:bidi="ar"/>
              </w:rPr>
              <w:t>3</w:t>
            </w:r>
            <w:r>
              <w:rPr>
                <w:rFonts w:hint="eastAsia" w:ascii="宋体" w:hAnsi="宋体" w:eastAsia="宋体" w:cs="宋体"/>
                <w:i w:val="0"/>
                <w:iCs w:val="0"/>
                <w:color w:val="auto"/>
                <w:kern w:val="0"/>
                <w:sz w:val="22"/>
                <w:szCs w:val="22"/>
                <w:highlight w:val="none"/>
                <w:u w:val="none"/>
                <w:lang w:val="en-US" w:eastAsia="zh-CN" w:bidi="ar"/>
              </w:rPr>
              <w:t>00M网络</w:t>
            </w:r>
            <w:r>
              <w:rPr>
                <w:rFonts w:hint="eastAsia" w:ascii="宋体" w:hAnsi="宋体" w:cs="宋体"/>
                <w:i w:val="0"/>
                <w:iCs w:val="0"/>
                <w:color w:val="auto"/>
                <w:kern w:val="0"/>
                <w:sz w:val="22"/>
                <w:szCs w:val="22"/>
                <w:highlight w:val="none"/>
                <w:u w:val="none"/>
                <w:lang w:val="en-US" w:eastAsia="zh-CN" w:bidi="ar"/>
              </w:rPr>
              <w:t>宽带</w:t>
            </w:r>
            <w:r>
              <w:rPr>
                <w:rFonts w:hint="eastAsia" w:ascii="宋体" w:hAnsi="宋体" w:eastAsia="宋体" w:cs="宋体"/>
                <w:i w:val="0"/>
                <w:iCs w:val="0"/>
                <w:color w:val="auto"/>
                <w:kern w:val="0"/>
                <w:sz w:val="22"/>
                <w:szCs w:val="22"/>
                <w:highlight w:val="none"/>
                <w:u w:val="none"/>
                <w:lang w:val="en-US" w:eastAsia="zh-CN" w:bidi="ar"/>
              </w:rPr>
              <w:t>，确保指挥调度中心渔政信息化系统运转正常、网络通畅，出现技术故障及时完成修复。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服务期1095日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平台软件升级</w:t>
            </w:r>
          </w:p>
        </w:tc>
        <w:tc>
          <w:tcPr>
            <w:tcW w:w="5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对渔政信息化平台软件进行升级，要求支持以下功能：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★1.分屏预览。支持1、4、9、16宫格分屏展示，支持自定义绘制宫格区域，每个宫格内可选择加载视频画面或地图资源。其中，地图资源可设置默认显示层级、中心经纬度，可切换图层。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★2.视图方案。分屏预览的视图可快捷保存为视图方案，每个用户允许保存多种视图方案，可通过界面点击快速切换视图。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★3.视图轮巡。支持自定义轮巡方案，可添加视图方案或点位资源至轮巡列表，可自由设置轮询间隔。提供轮巡所有视图、单窗口轮巡所有资源等快捷轮巡方案。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★4.重点关注。可通过平台界面快速配置及调用光电关注点。每个关注点可设置方位值、俯仰值、可见光及红外视场角等。支持在光电视频界面快速调用关注点。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5.一键巡航。可通过系统界面快速配置及调用光电一键巡航功能。巡航路径可通过关联已设置的关注点实现配置，可设置到达每个关注点的云台速度及驻留时间，可设置巡航自动抓拍，抓拍的图片可按光电快速检索。支持在光电视频界面快速开启一键巡航。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★6.截图录屏。支持在光电视频画面快速截图和录屏，以便快速固定证据。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★7.录像回放。支持在系统网页端按时间查询光电点位的录像资料，可通过拖动进度条快速定位到具体时刻开始回放。</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雷达数据。支持在系统网页端显示一张图信息、雷达光电在地图上标注，并可显示雷达监测目标数据、AIS数据、运动轨迹，可以通过雷达目标引导光电快速指向至雷达监测目标，支持对目标双击后锁定跟踪，持续监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★9.终端APP。提供终端APP，支持一张图态势、告警、监控、回放等功能。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★10.支持对接各县区平台数据、前端雷达和光电接入，并支持对接省渔政信息化平台。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11.标★项需提供软件功能截图证明，否则视为不满足。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服务期1095日</w:t>
            </w:r>
          </w:p>
        </w:tc>
      </w:tr>
    </w:tbl>
    <w:p>
      <w:pPr>
        <w:shd w:val="clear"/>
        <w:rPr>
          <w:rFonts w:hint="eastAsia"/>
          <w:color w:val="auto"/>
          <w:highlight w:val="none"/>
        </w:rPr>
      </w:pPr>
    </w:p>
    <w:p>
      <w:pPr>
        <w:pStyle w:val="2"/>
        <w:shd w:val="clear"/>
        <w:rPr>
          <w:rFonts w:hint="eastAsia"/>
          <w:color w:val="auto"/>
          <w:highlight w:val="none"/>
        </w:rPr>
      </w:pPr>
    </w:p>
    <w:p>
      <w:pPr>
        <w:pStyle w:val="5"/>
        <w:shd w:val="clear"/>
        <w:rPr>
          <w:rFonts w:hint="eastAsia"/>
          <w:color w:val="auto"/>
          <w:highlight w:val="none"/>
        </w:rPr>
      </w:pPr>
    </w:p>
    <w:p>
      <w:pPr>
        <w:pStyle w:val="5"/>
        <w:shd w:val="clear"/>
        <w:rPr>
          <w:rFonts w:hint="eastAsia"/>
          <w:color w:val="auto"/>
          <w:highlight w:val="none"/>
        </w:rPr>
      </w:pPr>
    </w:p>
    <w:p>
      <w:pPr>
        <w:pStyle w:val="5"/>
        <w:shd w:val="clear"/>
        <w:rPr>
          <w:rFonts w:hint="eastAsia"/>
          <w:color w:val="auto"/>
          <w:highlight w:val="none"/>
        </w:rPr>
      </w:pPr>
    </w:p>
    <w:p>
      <w:pPr>
        <w:pStyle w:val="5"/>
        <w:shd w:val="clear"/>
        <w:rPr>
          <w:rFonts w:hint="eastAsia"/>
          <w:color w:val="auto"/>
          <w:highlight w:val="none"/>
        </w:rPr>
      </w:pPr>
    </w:p>
    <w:p>
      <w:pPr>
        <w:pStyle w:val="5"/>
        <w:shd w:val="clear"/>
        <w:rPr>
          <w:rFonts w:hint="eastAsia"/>
          <w:color w:val="auto"/>
          <w:highlight w:val="none"/>
        </w:rPr>
      </w:pPr>
    </w:p>
    <w:p>
      <w:pPr>
        <w:pStyle w:val="7"/>
        <w:shd w:val="clear"/>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eastAsia="zh-CN"/>
        </w:rPr>
        <w:t>附件</w:t>
      </w:r>
      <w:r>
        <w:rPr>
          <w:rFonts w:hint="eastAsia" w:ascii="仿宋_GB2312" w:hAnsi="仿宋_GB2312" w:eastAsia="仿宋_GB2312" w:cs="仿宋_GB2312"/>
          <w:b w:val="0"/>
          <w:bCs w:val="0"/>
          <w:color w:val="auto"/>
          <w:sz w:val="32"/>
          <w:szCs w:val="32"/>
          <w:highlight w:val="none"/>
          <w:lang w:val="en-US" w:eastAsia="zh-CN"/>
        </w:rPr>
        <w:t>3：</w:t>
      </w:r>
    </w:p>
    <w:p>
      <w:pPr>
        <w:pStyle w:val="7"/>
        <w:shd w:val="clear"/>
        <w:jc w:val="center"/>
        <w:rPr>
          <w:color w:val="auto"/>
          <w:highlight w:val="none"/>
        </w:rPr>
      </w:pPr>
      <w:r>
        <w:rPr>
          <w:rFonts w:hint="eastAsia" w:ascii="方正小标宋简体" w:hAnsi="方正小标宋简体" w:eastAsia="方正小标宋简体" w:cs="方正小标宋简体"/>
          <w:b w:val="0"/>
          <w:bCs w:val="0"/>
          <w:color w:val="auto"/>
          <w:sz w:val="44"/>
          <w:szCs w:val="44"/>
          <w:highlight w:val="none"/>
        </w:rPr>
        <w:t>评标办法</w:t>
      </w:r>
    </w:p>
    <w:p>
      <w:pPr>
        <w:shd w:val="clear"/>
        <w:adjustRightInd w:val="0"/>
        <w:snapToGrid w:val="0"/>
        <w:spacing w:line="360" w:lineRule="auto"/>
        <w:ind w:right="-1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一．总则</w:t>
      </w:r>
    </w:p>
    <w:p>
      <w:pPr>
        <w:shd w:val="clea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 xml:space="preserve">第一条 </w:t>
      </w:r>
      <w:r>
        <w:rPr>
          <w:rFonts w:hint="eastAsia" w:ascii="仿宋" w:hAnsi="仿宋" w:eastAsia="仿宋" w:cs="仿宋"/>
          <w:color w:val="auto"/>
          <w:sz w:val="28"/>
          <w:szCs w:val="28"/>
          <w:highlight w:val="none"/>
        </w:rPr>
        <w:t xml:space="preserve">为了做好本项目采购评标工作，保证项目评审工作的正常有序进行，维护采购人、供应商的合法权益，依据《中华人民共和国政府采购法》 《中华人民共和国政府采购法实施条例》 </w:t>
      </w:r>
      <w:r>
        <w:rPr>
          <w:rFonts w:hint="eastAsia" w:ascii="仿宋" w:hAnsi="仿宋" w:eastAsia="仿宋" w:cs="仿宋"/>
          <w:bCs/>
          <w:color w:val="auto"/>
          <w:sz w:val="28"/>
          <w:szCs w:val="28"/>
          <w:highlight w:val="none"/>
        </w:rPr>
        <w:t>《政府采购非采购采购方式管理办法》（财政部令第74号）</w:t>
      </w:r>
      <w:r>
        <w:rPr>
          <w:rFonts w:hint="eastAsia" w:ascii="仿宋" w:hAnsi="仿宋" w:eastAsia="仿宋" w:cs="仿宋"/>
          <w:color w:val="auto"/>
          <w:sz w:val="28"/>
          <w:szCs w:val="28"/>
          <w:highlight w:val="none"/>
        </w:rPr>
        <w:t>及其它相关法律法规，本着公开、公平、公正的原则，制定评标办法。</w:t>
      </w:r>
    </w:p>
    <w:p>
      <w:pPr>
        <w:shd w:val="clea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 xml:space="preserve">第二条 </w:t>
      </w:r>
      <w:r>
        <w:rPr>
          <w:rFonts w:hint="eastAsia" w:ascii="仿宋" w:hAnsi="仿宋" w:eastAsia="仿宋" w:cs="仿宋"/>
          <w:color w:val="auto"/>
          <w:sz w:val="28"/>
          <w:szCs w:val="28"/>
          <w:highlight w:val="none"/>
        </w:rPr>
        <w:t>本次项目评标采用</w:t>
      </w:r>
      <w:r>
        <w:rPr>
          <w:rFonts w:hint="eastAsia" w:ascii="仿宋" w:hAnsi="仿宋" w:eastAsia="仿宋" w:cs="仿宋"/>
          <w:b/>
          <w:color w:val="auto"/>
          <w:sz w:val="28"/>
          <w:szCs w:val="28"/>
          <w:highlight w:val="none"/>
        </w:rPr>
        <w:t>经评审的有效低价法</w:t>
      </w:r>
      <w:r>
        <w:rPr>
          <w:rFonts w:hint="eastAsia" w:ascii="仿宋" w:hAnsi="仿宋" w:eastAsia="仿宋" w:cs="仿宋"/>
          <w:color w:val="auto"/>
          <w:sz w:val="28"/>
          <w:szCs w:val="28"/>
          <w:highlight w:val="none"/>
        </w:rPr>
        <w:t>作为对供应商响应文件的比较方法。</w:t>
      </w:r>
    </w:p>
    <w:p>
      <w:pPr>
        <w:shd w:val="clea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 xml:space="preserve">第三条 </w:t>
      </w:r>
      <w:r>
        <w:rPr>
          <w:rFonts w:hint="eastAsia" w:ascii="仿宋" w:hAnsi="仿宋" w:eastAsia="仿宋" w:cs="仿宋"/>
          <w:color w:val="auto"/>
          <w:sz w:val="28"/>
          <w:szCs w:val="28"/>
          <w:highlight w:val="none"/>
        </w:rPr>
        <w:t>采购人</w:t>
      </w:r>
      <w:r>
        <w:rPr>
          <w:rFonts w:hint="eastAsia" w:ascii="仿宋" w:hAnsi="仿宋" w:eastAsia="仿宋" w:cs="仿宋"/>
          <w:bCs/>
          <w:color w:val="auto"/>
          <w:sz w:val="28"/>
          <w:szCs w:val="28"/>
          <w:highlight w:val="none"/>
        </w:rPr>
        <w:t>负责抽取组织</w:t>
      </w:r>
      <w:r>
        <w:rPr>
          <w:rFonts w:hint="eastAsia" w:ascii="仿宋" w:hAnsi="仿宋" w:eastAsia="仿宋" w:cs="仿宋"/>
          <w:color w:val="auto"/>
          <w:sz w:val="28"/>
          <w:szCs w:val="28"/>
          <w:highlight w:val="none"/>
        </w:rPr>
        <w:t>不少于</w:t>
      </w:r>
      <w:r>
        <w:rPr>
          <w:rFonts w:hint="eastAsia" w:ascii="仿宋" w:hAnsi="仿宋" w:eastAsia="仿宋" w:cs="仿宋"/>
          <w:b/>
          <w:color w:val="auto"/>
          <w:sz w:val="28"/>
          <w:szCs w:val="28"/>
          <w:highlight w:val="none"/>
        </w:rPr>
        <w:t>3</w:t>
      </w:r>
      <w:r>
        <w:rPr>
          <w:rFonts w:hint="eastAsia" w:ascii="仿宋" w:hAnsi="仿宋" w:eastAsia="仿宋" w:cs="仿宋"/>
          <w:color w:val="auto"/>
          <w:sz w:val="28"/>
          <w:szCs w:val="28"/>
          <w:highlight w:val="none"/>
        </w:rPr>
        <w:t>人组成的竞争性谈判小组（以下简称谈判小组），负责本项目的评标工作。</w:t>
      </w:r>
    </w:p>
    <w:p>
      <w:pPr>
        <w:shd w:val="clea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 xml:space="preserve">第四条 </w:t>
      </w:r>
      <w:r>
        <w:rPr>
          <w:rFonts w:hint="eastAsia" w:ascii="仿宋" w:hAnsi="仿宋" w:eastAsia="仿宋" w:cs="仿宋"/>
          <w:color w:val="auto"/>
          <w:sz w:val="28"/>
          <w:szCs w:val="28"/>
          <w:highlight w:val="none"/>
        </w:rPr>
        <w:t>谈判小组按照“客观公正，实事求是”的原则，评价参加本次采购的供应商所提供的产品价格、性能、质量、服务及对竞争性谈判文件的符合性及响应性。</w:t>
      </w:r>
    </w:p>
    <w:p>
      <w:pPr>
        <w:shd w:val="clear"/>
        <w:adjustRightInd w:val="0"/>
        <w:snapToGrid w:val="0"/>
        <w:spacing w:line="360" w:lineRule="auto"/>
        <w:ind w:right="-10"/>
        <w:jc w:val="center"/>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二．评标程序及评审细则</w:t>
      </w:r>
    </w:p>
    <w:p>
      <w:pPr>
        <w:shd w:val="clea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第五条</w:t>
      </w:r>
      <w:r>
        <w:rPr>
          <w:rFonts w:hint="eastAsia" w:ascii="仿宋" w:hAnsi="仿宋" w:eastAsia="仿宋" w:cs="仿宋"/>
          <w:color w:val="auto"/>
          <w:sz w:val="28"/>
          <w:szCs w:val="28"/>
          <w:highlight w:val="none"/>
        </w:rPr>
        <w:t xml:space="preserve"> 评标工作于开标后进行。谈判小组应认真研究竞争性谈判文件，至少应了解和熟悉以下内容：</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1、采购的目标；</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2、采购项目的范围和性质；</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3、竞争性谈判文件中规定的主要技术要求、标准和商务条款；</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4、竞争性谈判文件规定的评标标准、评标方法和在评标过程中考虑的相关因素。</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评标工作由采购代理机构负责组织，具体评标事务由采购代理机构依法组建的谈判小组负责。</w:t>
      </w:r>
    </w:p>
    <w:p>
      <w:pPr>
        <w:shd w:val="clear"/>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bCs/>
          <w:color w:val="auto"/>
          <w:sz w:val="28"/>
          <w:szCs w:val="28"/>
          <w:highlight w:val="none"/>
          <w:lang w:val="zh-CN"/>
        </w:rPr>
        <w:t>第六条</w:t>
      </w:r>
      <w:r>
        <w:rPr>
          <w:rFonts w:hint="eastAsia" w:ascii="仿宋" w:hAnsi="仿宋" w:eastAsia="仿宋" w:cs="仿宋"/>
          <w:color w:val="auto"/>
          <w:sz w:val="28"/>
          <w:szCs w:val="28"/>
          <w:highlight w:val="none"/>
        </w:rPr>
        <w:t>评标工作由采购代理机构负责组织，具体评标事务由采购代理机构依法组建的谈判小组负责。</w:t>
      </w:r>
      <w:r>
        <w:rPr>
          <w:rFonts w:hint="eastAsia" w:ascii="仿宋" w:hAnsi="仿宋" w:eastAsia="仿宋" w:cs="仿宋"/>
          <w:color w:val="auto"/>
          <w:sz w:val="28"/>
          <w:szCs w:val="28"/>
          <w:highlight w:val="none"/>
          <w:lang w:val="zh-CN"/>
        </w:rPr>
        <w:t>谈判小组依据竞争性谈判文件的规定</w:t>
      </w:r>
      <w:r>
        <w:rPr>
          <w:rFonts w:hint="eastAsia" w:ascii="仿宋" w:hAnsi="仿宋" w:eastAsia="仿宋" w:cs="仿宋"/>
          <w:color w:val="auto"/>
          <w:sz w:val="28"/>
          <w:szCs w:val="28"/>
          <w:highlight w:val="none"/>
        </w:rPr>
        <w:t>，采用经评审的有效低价法对供应商的响应文件和投标报价进行评审。</w:t>
      </w:r>
      <w:r>
        <w:rPr>
          <w:rFonts w:hint="eastAsia" w:ascii="仿宋" w:hAnsi="仿宋" w:eastAsia="仿宋" w:cs="仿宋"/>
          <w:color w:val="auto"/>
          <w:sz w:val="28"/>
          <w:szCs w:val="28"/>
          <w:highlight w:val="none"/>
          <w:lang w:val="zh-CN"/>
        </w:rPr>
        <w:t>谈判小组对响应文件的有效性、完整性和对竞争性谈判文件的响应程度进行审查，以确定是否对竞争性谈判文件的要求做出实质性响应。未对竞争性谈判文件做实质性响应的供应商，不得进入后续评审。谈判小组按下表内容进行投标有效性评审：</w:t>
      </w:r>
    </w:p>
    <w:p>
      <w:pPr>
        <w:shd w:val="clear"/>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初步评审表</w:t>
      </w:r>
    </w:p>
    <w:tbl>
      <w:tblPr>
        <w:tblStyle w:val="51"/>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778"/>
        <w:gridCol w:w="1745"/>
        <w:gridCol w:w="2090"/>
        <w:gridCol w:w="3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1364" w:type="dxa"/>
            <w:gridSpan w:val="2"/>
            <w:vAlign w:val="center"/>
          </w:tcPr>
          <w:p>
            <w:pPr>
              <w:shd w:val="clear"/>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条款号</w:t>
            </w:r>
          </w:p>
        </w:tc>
        <w:tc>
          <w:tcPr>
            <w:tcW w:w="1745" w:type="dxa"/>
            <w:vAlign w:val="center"/>
          </w:tcPr>
          <w:p>
            <w:pPr>
              <w:widowControl w:val="0"/>
              <w:pBdr>
                <w:bottom w:val="none" w:color="auto" w:sz="0" w:space="0"/>
              </w:pBdr>
              <w:shd w:val="clear"/>
              <w:adjustRightInd w:val="0"/>
              <w:snapToGrid w:val="0"/>
              <w:spacing w:line="360" w:lineRule="auto"/>
              <w:jc w:val="center"/>
              <w:textAlignment w:val="auto"/>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color w:val="auto"/>
                <w:kern w:val="2"/>
                <w:sz w:val="28"/>
                <w:szCs w:val="28"/>
                <w:highlight w:val="none"/>
                <w:lang w:val="en-US" w:eastAsia="zh-CN" w:bidi="ar-SA"/>
              </w:rPr>
              <w:t>评审项</w:t>
            </w:r>
          </w:p>
        </w:tc>
        <w:tc>
          <w:tcPr>
            <w:tcW w:w="2090" w:type="dxa"/>
            <w:vAlign w:val="center"/>
          </w:tcPr>
          <w:p>
            <w:pPr>
              <w:shd w:val="clear"/>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指标要求</w:t>
            </w:r>
          </w:p>
        </w:tc>
        <w:tc>
          <w:tcPr>
            <w:tcW w:w="3578" w:type="dxa"/>
            <w:vAlign w:val="center"/>
          </w:tcPr>
          <w:p>
            <w:pPr>
              <w:shd w:val="clear"/>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格式或提交资料要求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jc w:val="center"/>
        </w:trPr>
        <w:tc>
          <w:tcPr>
            <w:tcW w:w="586" w:type="dxa"/>
            <w:vMerge w:val="restart"/>
            <w:vAlign w:val="center"/>
          </w:tcPr>
          <w:p>
            <w:pPr>
              <w:shd w:val="clear"/>
              <w:adjustRightInd w:val="0"/>
              <w:snapToGrid w:val="0"/>
              <w:spacing w:line="288"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778" w:type="dxa"/>
            <w:vMerge w:val="restart"/>
            <w:vAlign w:val="center"/>
          </w:tcPr>
          <w:p>
            <w:pPr>
              <w:shd w:val="clear"/>
              <w:adjustRightInd w:val="0"/>
              <w:snapToGrid w:val="0"/>
              <w:spacing w:line="288"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形式评审</w:t>
            </w:r>
          </w:p>
        </w:tc>
        <w:tc>
          <w:tcPr>
            <w:tcW w:w="1745" w:type="dxa"/>
            <w:shd w:val="clear" w:color="auto" w:fill="auto"/>
            <w:vAlign w:val="center"/>
          </w:tcPr>
          <w:p>
            <w:pPr>
              <w:shd w:val="clear"/>
              <w:adjustRightInd w:val="0"/>
              <w:snapToGrid w:val="0"/>
              <w:spacing w:line="288"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营业执照</w:t>
            </w:r>
          </w:p>
        </w:tc>
        <w:tc>
          <w:tcPr>
            <w:tcW w:w="2090" w:type="dxa"/>
            <w:shd w:val="clear" w:color="auto" w:fill="auto"/>
            <w:vAlign w:val="center"/>
          </w:tcPr>
          <w:p>
            <w:pPr>
              <w:shd w:val="clear"/>
              <w:adjustRightInd w:val="0"/>
              <w:snapToGrid w:val="0"/>
              <w:spacing w:line="288"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合法有效，名称是否与供应商一致</w:t>
            </w:r>
          </w:p>
        </w:tc>
        <w:tc>
          <w:tcPr>
            <w:tcW w:w="3578" w:type="dxa"/>
            <w:shd w:val="clear" w:color="auto" w:fill="auto"/>
            <w:vAlign w:val="center"/>
          </w:tcPr>
          <w:p>
            <w:pPr>
              <w:shd w:val="clear"/>
              <w:adjustRightInd w:val="0"/>
              <w:snapToGrid w:val="0"/>
              <w:spacing w:line="288" w:lineRule="auto"/>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提供营业执照扫描件，或者提供营业执照、税务登记证、组织机构代码证扫描件</w:t>
            </w:r>
            <w:r>
              <w:rPr>
                <w:rFonts w:hint="eastAsia" w:ascii="仿宋" w:hAnsi="仿宋" w:eastAsia="仿宋" w:cs="仿宋"/>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 w:hRule="atLeast"/>
          <w:jc w:val="center"/>
        </w:trPr>
        <w:tc>
          <w:tcPr>
            <w:tcW w:w="586" w:type="dxa"/>
            <w:vMerge w:val="continue"/>
            <w:vAlign w:val="center"/>
          </w:tcPr>
          <w:p>
            <w:pPr>
              <w:shd w:val="clear"/>
              <w:adjustRightInd w:val="0"/>
              <w:snapToGrid w:val="0"/>
              <w:spacing w:line="288" w:lineRule="auto"/>
              <w:jc w:val="center"/>
              <w:rPr>
                <w:rFonts w:hint="eastAsia" w:ascii="仿宋" w:hAnsi="仿宋" w:eastAsia="仿宋" w:cs="仿宋"/>
                <w:color w:val="auto"/>
                <w:sz w:val="28"/>
                <w:szCs w:val="28"/>
                <w:highlight w:val="none"/>
              </w:rPr>
            </w:pPr>
          </w:p>
        </w:tc>
        <w:tc>
          <w:tcPr>
            <w:tcW w:w="778" w:type="dxa"/>
            <w:vMerge w:val="continue"/>
            <w:vAlign w:val="center"/>
          </w:tcPr>
          <w:p>
            <w:pPr>
              <w:shd w:val="clear"/>
              <w:adjustRightInd w:val="0"/>
              <w:snapToGrid w:val="0"/>
              <w:spacing w:line="288" w:lineRule="auto"/>
              <w:jc w:val="center"/>
              <w:rPr>
                <w:rFonts w:hint="eastAsia" w:ascii="仿宋" w:hAnsi="仿宋" w:eastAsia="仿宋" w:cs="仿宋"/>
                <w:color w:val="auto"/>
                <w:sz w:val="28"/>
                <w:szCs w:val="28"/>
                <w:highlight w:val="none"/>
              </w:rPr>
            </w:pPr>
          </w:p>
        </w:tc>
        <w:tc>
          <w:tcPr>
            <w:tcW w:w="1745" w:type="dxa"/>
            <w:vAlign w:val="center"/>
          </w:tcPr>
          <w:p>
            <w:pPr>
              <w:shd w:val="clear"/>
              <w:adjustRightInd w:val="0"/>
              <w:snapToGrid w:val="0"/>
              <w:spacing w:line="288"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投标函</w:t>
            </w:r>
          </w:p>
        </w:tc>
        <w:tc>
          <w:tcPr>
            <w:tcW w:w="2090" w:type="dxa"/>
            <w:vAlign w:val="center"/>
          </w:tcPr>
          <w:p>
            <w:pPr>
              <w:shd w:val="clear"/>
              <w:adjustRightInd w:val="0"/>
              <w:snapToGrid w:val="0"/>
              <w:spacing w:line="288"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符合竞争性谈判文件要求</w:t>
            </w:r>
          </w:p>
        </w:tc>
        <w:tc>
          <w:tcPr>
            <w:tcW w:w="3578" w:type="dxa"/>
            <w:vAlign w:val="center"/>
          </w:tcPr>
          <w:p>
            <w:pPr>
              <w:shd w:val="clear"/>
              <w:adjustRightInd w:val="0"/>
              <w:snapToGrid w:val="0"/>
              <w:spacing w:line="288"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加盖供应商公章，法定代表人签字或盖章；授权委托人签字或盖章不做要求。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586" w:type="dxa"/>
            <w:vMerge w:val="restart"/>
            <w:vAlign w:val="center"/>
          </w:tcPr>
          <w:p>
            <w:pPr>
              <w:shd w:val="clear"/>
              <w:adjustRightInd w:val="0"/>
              <w:snapToGrid w:val="0"/>
              <w:spacing w:line="288"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778" w:type="dxa"/>
            <w:vMerge w:val="restart"/>
            <w:vAlign w:val="center"/>
          </w:tcPr>
          <w:p>
            <w:pPr>
              <w:shd w:val="clear"/>
              <w:adjustRightInd w:val="0"/>
              <w:snapToGrid w:val="0"/>
              <w:spacing w:line="288"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资格评审</w:t>
            </w:r>
          </w:p>
        </w:tc>
        <w:tc>
          <w:tcPr>
            <w:tcW w:w="1745" w:type="dxa"/>
            <w:vAlign w:val="center"/>
          </w:tcPr>
          <w:p>
            <w:pPr>
              <w:shd w:val="clear"/>
              <w:adjustRightInd w:val="0"/>
              <w:snapToGrid w:val="0"/>
              <w:spacing w:line="288"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供应商资格要求</w:t>
            </w:r>
          </w:p>
        </w:tc>
        <w:tc>
          <w:tcPr>
            <w:tcW w:w="2090" w:type="dxa"/>
            <w:vAlign w:val="center"/>
          </w:tcPr>
          <w:p>
            <w:pPr>
              <w:shd w:val="clear"/>
              <w:adjustRightInd w:val="0"/>
              <w:snapToGrid w:val="0"/>
              <w:spacing w:line="288"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符合</w:t>
            </w:r>
            <w:r>
              <w:rPr>
                <w:rFonts w:hint="eastAsia" w:ascii="仿宋" w:hAnsi="仿宋" w:eastAsia="仿宋" w:cs="仿宋"/>
                <w:color w:val="auto"/>
                <w:sz w:val="28"/>
                <w:szCs w:val="28"/>
                <w:highlight w:val="none"/>
                <w:lang w:eastAsia="zh-CN"/>
              </w:rPr>
              <w:t>竞争性谈判公告</w:t>
            </w:r>
            <w:r>
              <w:rPr>
                <w:rFonts w:hint="eastAsia" w:ascii="仿宋" w:hAnsi="仿宋" w:eastAsia="仿宋" w:cs="仿宋"/>
                <w:color w:val="auto"/>
                <w:sz w:val="28"/>
                <w:szCs w:val="28"/>
                <w:highlight w:val="none"/>
              </w:rPr>
              <w:t>要求</w:t>
            </w:r>
          </w:p>
        </w:tc>
        <w:tc>
          <w:tcPr>
            <w:tcW w:w="3578" w:type="dxa"/>
            <w:vAlign w:val="center"/>
          </w:tcPr>
          <w:p>
            <w:pPr>
              <w:shd w:val="clear"/>
              <w:adjustRightInd w:val="0"/>
              <w:snapToGrid w:val="0"/>
              <w:spacing w:line="288"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586" w:type="dxa"/>
            <w:vMerge w:val="continue"/>
            <w:vAlign w:val="center"/>
          </w:tcPr>
          <w:p>
            <w:pPr>
              <w:shd w:val="clear"/>
              <w:adjustRightInd w:val="0"/>
              <w:snapToGrid w:val="0"/>
              <w:spacing w:line="288" w:lineRule="auto"/>
              <w:jc w:val="center"/>
              <w:rPr>
                <w:rFonts w:hint="eastAsia" w:ascii="仿宋" w:hAnsi="仿宋" w:eastAsia="仿宋" w:cs="仿宋"/>
                <w:color w:val="auto"/>
                <w:sz w:val="28"/>
                <w:szCs w:val="28"/>
                <w:highlight w:val="none"/>
              </w:rPr>
            </w:pPr>
          </w:p>
        </w:tc>
        <w:tc>
          <w:tcPr>
            <w:tcW w:w="778" w:type="dxa"/>
            <w:vMerge w:val="continue"/>
            <w:vAlign w:val="center"/>
          </w:tcPr>
          <w:p>
            <w:pPr>
              <w:shd w:val="clear"/>
              <w:adjustRightInd w:val="0"/>
              <w:snapToGrid w:val="0"/>
              <w:spacing w:line="288" w:lineRule="auto"/>
              <w:jc w:val="center"/>
              <w:rPr>
                <w:rFonts w:hint="eastAsia" w:ascii="仿宋" w:hAnsi="仿宋" w:eastAsia="仿宋" w:cs="仿宋"/>
                <w:color w:val="auto"/>
                <w:sz w:val="28"/>
                <w:szCs w:val="28"/>
                <w:highlight w:val="none"/>
              </w:rPr>
            </w:pPr>
          </w:p>
        </w:tc>
        <w:tc>
          <w:tcPr>
            <w:tcW w:w="1745" w:type="dxa"/>
            <w:vAlign w:val="center"/>
          </w:tcPr>
          <w:p>
            <w:pPr>
              <w:shd w:val="clear"/>
              <w:adjustRightInd w:val="0"/>
              <w:snapToGrid w:val="0"/>
              <w:spacing w:line="288"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供应商信誉要求</w:t>
            </w:r>
          </w:p>
        </w:tc>
        <w:tc>
          <w:tcPr>
            <w:tcW w:w="2090" w:type="dxa"/>
            <w:vAlign w:val="center"/>
          </w:tcPr>
          <w:p>
            <w:pPr>
              <w:shd w:val="clear"/>
              <w:adjustRightInd w:val="0"/>
              <w:snapToGrid w:val="0"/>
              <w:spacing w:line="288"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符合</w:t>
            </w:r>
            <w:r>
              <w:rPr>
                <w:rFonts w:hint="eastAsia" w:ascii="仿宋" w:hAnsi="仿宋" w:eastAsia="仿宋" w:cs="仿宋"/>
                <w:color w:val="auto"/>
                <w:sz w:val="28"/>
                <w:szCs w:val="28"/>
                <w:highlight w:val="none"/>
                <w:lang w:eastAsia="zh-CN"/>
              </w:rPr>
              <w:t>竞争性谈判公告</w:t>
            </w:r>
            <w:r>
              <w:rPr>
                <w:rFonts w:hint="eastAsia" w:ascii="仿宋" w:hAnsi="仿宋" w:eastAsia="仿宋" w:cs="仿宋"/>
                <w:color w:val="auto"/>
                <w:sz w:val="28"/>
                <w:szCs w:val="28"/>
                <w:highlight w:val="none"/>
              </w:rPr>
              <w:t>要求</w:t>
            </w:r>
          </w:p>
        </w:tc>
        <w:tc>
          <w:tcPr>
            <w:tcW w:w="3578" w:type="dxa"/>
            <w:vAlign w:val="center"/>
          </w:tcPr>
          <w:p>
            <w:pPr>
              <w:shd w:val="clear"/>
              <w:adjustRightInd w:val="0"/>
              <w:snapToGrid w:val="0"/>
              <w:spacing w:line="288"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提供相应网页截图或者提供承诺（承诺格式详见“第七章响应文件格式”）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586" w:type="dxa"/>
            <w:vMerge w:val="restart"/>
            <w:vAlign w:val="center"/>
          </w:tcPr>
          <w:p>
            <w:pPr>
              <w:shd w:val="clear"/>
              <w:adjustRightInd w:val="0"/>
              <w:snapToGrid w:val="0"/>
              <w:spacing w:line="288"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778" w:type="dxa"/>
            <w:vMerge w:val="restart"/>
            <w:vAlign w:val="center"/>
          </w:tcPr>
          <w:p>
            <w:pPr>
              <w:shd w:val="clear"/>
              <w:adjustRightInd w:val="0"/>
              <w:snapToGrid w:val="0"/>
              <w:spacing w:line="288"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响应性评审</w:t>
            </w:r>
          </w:p>
        </w:tc>
        <w:tc>
          <w:tcPr>
            <w:tcW w:w="1745" w:type="dxa"/>
            <w:vAlign w:val="center"/>
          </w:tcPr>
          <w:p>
            <w:pPr>
              <w:shd w:val="clear"/>
              <w:adjustRightInd w:val="0"/>
              <w:snapToGrid w:val="0"/>
              <w:spacing w:line="288"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竞争性谈判响应情况</w:t>
            </w:r>
          </w:p>
        </w:tc>
        <w:tc>
          <w:tcPr>
            <w:tcW w:w="2090" w:type="dxa"/>
            <w:vAlign w:val="center"/>
          </w:tcPr>
          <w:p>
            <w:pPr>
              <w:shd w:val="clear"/>
              <w:adjustRightInd w:val="0"/>
              <w:snapToGrid w:val="0"/>
              <w:spacing w:line="288"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合同履行期限</w:t>
            </w:r>
            <w:r>
              <w:rPr>
                <w:rFonts w:hint="eastAsia" w:ascii="仿宋" w:hAnsi="仿宋" w:eastAsia="仿宋" w:cs="仿宋"/>
                <w:color w:val="auto"/>
                <w:sz w:val="28"/>
                <w:szCs w:val="28"/>
                <w:highlight w:val="none"/>
              </w:rPr>
              <w:t>响应</w:t>
            </w:r>
          </w:p>
        </w:tc>
        <w:tc>
          <w:tcPr>
            <w:tcW w:w="3578" w:type="dxa"/>
            <w:vAlign w:val="center"/>
          </w:tcPr>
          <w:p>
            <w:pPr>
              <w:shd w:val="clear"/>
              <w:adjustRightInd w:val="0"/>
              <w:snapToGrid w:val="0"/>
              <w:spacing w:line="288"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586" w:type="dxa"/>
            <w:vMerge w:val="continue"/>
            <w:vAlign w:val="center"/>
          </w:tcPr>
          <w:p>
            <w:pPr>
              <w:shd w:val="clear"/>
              <w:adjustRightInd w:val="0"/>
              <w:snapToGrid w:val="0"/>
              <w:spacing w:line="288" w:lineRule="auto"/>
              <w:jc w:val="center"/>
              <w:rPr>
                <w:rFonts w:hint="eastAsia" w:ascii="仿宋" w:hAnsi="仿宋" w:eastAsia="仿宋" w:cs="仿宋"/>
                <w:color w:val="auto"/>
                <w:sz w:val="28"/>
                <w:szCs w:val="28"/>
                <w:highlight w:val="none"/>
              </w:rPr>
            </w:pPr>
          </w:p>
        </w:tc>
        <w:tc>
          <w:tcPr>
            <w:tcW w:w="778" w:type="dxa"/>
            <w:vMerge w:val="continue"/>
            <w:vAlign w:val="center"/>
          </w:tcPr>
          <w:p>
            <w:pPr>
              <w:shd w:val="clear"/>
              <w:adjustRightInd w:val="0"/>
              <w:snapToGrid w:val="0"/>
              <w:spacing w:line="288" w:lineRule="auto"/>
              <w:jc w:val="center"/>
              <w:rPr>
                <w:rFonts w:hint="eastAsia" w:ascii="仿宋" w:hAnsi="仿宋" w:eastAsia="仿宋" w:cs="仿宋"/>
                <w:color w:val="auto"/>
                <w:sz w:val="28"/>
                <w:szCs w:val="28"/>
                <w:highlight w:val="none"/>
              </w:rPr>
            </w:pPr>
          </w:p>
        </w:tc>
        <w:tc>
          <w:tcPr>
            <w:tcW w:w="1745" w:type="dxa"/>
            <w:vAlign w:val="center"/>
          </w:tcPr>
          <w:p>
            <w:pPr>
              <w:shd w:val="clear"/>
              <w:adjustRightInd w:val="0"/>
              <w:snapToGrid w:val="0"/>
              <w:spacing w:line="288"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投标报价</w:t>
            </w:r>
          </w:p>
        </w:tc>
        <w:tc>
          <w:tcPr>
            <w:tcW w:w="2090" w:type="dxa"/>
            <w:vAlign w:val="center"/>
          </w:tcPr>
          <w:p>
            <w:pPr>
              <w:shd w:val="clear"/>
              <w:adjustRightInd w:val="0"/>
              <w:snapToGrid w:val="0"/>
              <w:spacing w:line="288"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投标报价不超过最高限价，且报价唯一</w:t>
            </w:r>
          </w:p>
        </w:tc>
        <w:tc>
          <w:tcPr>
            <w:tcW w:w="3578" w:type="dxa"/>
            <w:vAlign w:val="center"/>
          </w:tcPr>
          <w:p>
            <w:pPr>
              <w:shd w:val="clear"/>
              <w:adjustRightInd w:val="0"/>
              <w:snapToGrid w:val="0"/>
              <w:spacing w:line="288"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atLeast"/>
          <w:jc w:val="center"/>
        </w:trPr>
        <w:tc>
          <w:tcPr>
            <w:tcW w:w="586" w:type="dxa"/>
            <w:vMerge w:val="continue"/>
            <w:vAlign w:val="center"/>
          </w:tcPr>
          <w:p>
            <w:pPr>
              <w:shd w:val="clear"/>
              <w:adjustRightInd w:val="0"/>
              <w:snapToGrid w:val="0"/>
              <w:spacing w:line="288" w:lineRule="auto"/>
              <w:jc w:val="center"/>
              <w:rPr>
                <w:rFonts w:hint="eastAsia" w:ascii="仿宋" w:hAnsi="仿宋" w:eastAsia="仿宋" w:cs="仿宋"/>
                <w:color w:val="auto"/>
                <w:sz w:val="28"/>
                <w:szCs w:val="28"/>
                <w:highlight w:val="none"/>
              </w:rPr>
            </w:pPr>
          </w:p>
        </w:tc>
        <w:tc>
          <w:tcPr>
            <w:tcW w:w="778" w:type="dxa"/>
            <w:vMerge w:val="continue"/>
            <w:vAlign w:val="center"/>
          </w:tcPr>
          <w:p>
            <w:pPr>
              <w:shd w:val="clear"/>
              <w:adjustRightInd w:val="0"/>
              <w:snapToGrid w:val="0"/>
              <w:spacing w:line="288" w:lineRule="auto"/>
              <w:jc w:val="center"/>
              <w:rPr>
                <w:rFonts w:hint="eastAsia" w:ascii="仿宋" w:hAnsi="仿宋" w:eastAsia="仿宋" w:cs="仿宋"/>
                <w:color w:val="auto"/>
                <w:sz w:val="28"/>
                <w:szCs w:val="28"/>
                <w:highlight w:val="none"/>
              </w:rPr>
            </w:pPr>
          </w:p>
        </w:tc>
        <w:tc>
          <w:tcPr>
            <w:tcW w:w="1745" w:type="dxa"/>
            <w:vAlign w:val="center"/>
          </w:tcPr>
          <w:p>
            <w:pPr>
              <w:shd w:val="clear"/>
              <w:adjustRightInd w:val="0"/>
              <w:snapToGrid w:val="0"/>
              <w:spacing w:line="288" w:lineRule="auto"/>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采购需求响应情况</w:t>
            </w:r>
          </w:p>
        </w:tc>
        <w:tc>
          <w:tcPr>
            <w:tcW w:w="2090" w:type="dxa"/>
            <w:vAlign w:val="center"/>
          </w:tcPr>
          <w:p>
            <w:pPr>
              <w:shd w:val="clear"/>
              <w:adjustRightInd w:val="0"/>
              <w:snapToGrid w:val="0"/>
              <w:spacing w:line="288" w:lineRule="auto"/>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审查采购需求响应</w:t>
            </w:r>
          </w:p>
        </w:tc>
        <w:tc>
          <w:tcPr>
            <w:tcW w:w="3578" w:type="dxa"/>
            <w:vAlign w:val="center"/>
          </w:tcPr>
          <w:p>
            <w:pPr>
              <w:shd w:val="clear"/>
              <w:adjustRightInd w:val="0"/>
              <w:snapToGrid w:val="0"/>
              <w:spacing w:line="288" w:lineRule="auto"/>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对标★项，提供相关截图或证明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586" w:type="dxa"/>
            <w:vAlign w:val="center"/>
          </w:tcPr>
          <w:p>
            <w:pPr>
              <w:shd w:val="clear"/>
              <w:adjustRightInd w:val="0"/>
              <w:snapToGrid w:val="0"/>
              <w:spacing w:line="288" w:lineRule="auto"/>
              <w:jc w:val="center"/>
              <w:rPr>
                <w:rFonts w:hint="eastAsia" w:ascii="仿宋" w:hAnsi="仿宋" w:eastAsia="仿宋" w:cs="仿宋"/>
                <w:color w:val="auto"/>
                <w:sz w:val="28"/>
                <w:szCs w:val="28"/>
                <w:highlight w:val="none"/>
              </w:rPr>
            </w:pPr>
          </w:p>
        </w:tc>
        <w:tc>
          <w:tcPr>
            <w:tcW w:w="778" w:type="dxa"/>
            <w:vAlign w:val="center"/>
          </w:tcPr>
          <w:p>
            <w:pPr>
              <w:shd w:val="clear"/>
              <w:adjustRightInd w:val="0"/>
              <w:snapToGrid w:val="0"/>
              <w:spacing w:line="288" w:lineRule="auto"/>
              <w:jc w:val="center"/>
              <w:rPr>
                <w:rFonts w:hint="eastAsia" w:ascii="仿宋" w:hAnsi="仿宋" w:eastAsia="仿宋" w:cs="仿宋"/>
                <w:color w:val="auto"/>
                <w:sz w:val="28"/>
                <w:szCs w:val="28"/>
                <w:highlight w:val="none"/>
              </w:rPr>
            </w:pPr>
          </w:p>
        </w:tc>
        <w:tc>
          <w:tcPr>
            <w:tcW w:w="1745" w:type="dxa"/>
            <w:vAlign w:val="center"/>
          </w:tcPr>
          <w:p>
            <w:pPr>
              <w:shd w:val="clear"/>
              <w:adjustRightInd w:val="0"/>
              <w:snapToGrid w:val="0"/>
              <w:spacing w:line="288" w:lineRule="auto"/>
              <w:jc w:val="center"/>
              <w:rPr>
                <w:rFonts w:hint="eastAsia" w:ascii="仿宋" w:hAnsi="仿宋" w:eastAsia="仿宋" w:cs="仿宋"/>
                <w:color w:val="auto"/>
                <w:sz w:val="28"/>
                <w:szCs w:val="28"/>
                <w:highlight w:val="none"/>
                <w:lang w:val="en-US" w:eastAsia="zh-CN"/>
              </w:rPr>
            </w:pPr>
          </w:p>
        </w:tc>
        <w:tc>
          <w:tcPr>
            <w:tcW w:w="2090" w:type="dxa"/>
            <w:vAlign w:val="center"/>
          </w:tcPr>
          <w:p>
            <w:pPr>
              <w:shd w:val="clear"/>
              <w:adjustRightInd w:val="0"/>
              <w:snapToGrid w:val="0"/>
              <w:spacing w:line="288" w:lineRule="auto"/>
              <w:jc w:val="center"/>
              <w:rPr>
                <w:rFonts w:hint="eastAsia" w:ascii="仿宋" w:hAnsi="仿宋" w:eastAsia="仿宋" w:cs="仿宋"/>
                <w:color w:val="auto"/>
                <w:sz w:val="28"/>
                <w:szCs w:val="28"/>
                <w:highlight w:val="none"/>
              </w:rPr>
            </w:pPr>
          </w:p>
        </w:tc>
        <w:tc>
          <w:tcPr>
            <w:tcW w:w="3578" w:type="dxa"/>
            <w:vAlign w:val="center"/>
          </w:tcPr>
          <w:p>
            <w:pPr>
              <w:shd w:val="clear"/>
              <w:adjustRightInd w:val="0"/>
              <w:snapToGrid w:val="0"/>
              <w:spacing w:line="288" w:lineRule="auto"/>
              <w:jc w:val="center"/>
              <w:rPr>
                <w:rFonts w:hint="eastAsia" w:ascii="仿宋" w:hAnsi="仿宋" w:eastAsia="仿宋" w:cs="仿宋"/>
                <w:color w:val="auto"/>
                <w:sz w:val="28"/>
                <w:szCs w:val="28"/>
                <w:highlight w:val="none"/>
              </w:rPr>
            </w:pPr>
          </w:p>
        </w:tc>
      </w:tr>
    </w:tbl>
    <w:p>
      <w:pPr>
        <w:shd w:val="clear"/>
        <w:adjustRightInd w:val="0"/>
        <w:snapToGrid w:val="0"/>
        <w:spacing w:line="360" w:lineRule="auto"/>
        <w:ind w:right="-10" w:firstLine="562" w:firstLineChars="200"/>
        <w:rPr>
          <w:rFonts w:hint="eastAsia" w:ascii="仿宋" w:hAnsi="仿宋" w:eastAsia="仿宋" w:cs="仿宋"/>
          <w:b/>
          <w:color w:val="auto"/>
          <w:sz w:val="28"/>
          <w:szCs w:val="28"/>
          <w:highlight w:val="none"/>
        </w:rPr>
      </w:pPr>
    </w:p>
    <w:p>
      <w:pPr>
        <w:shd w:val="clear"/>
        <w:adjustRightInd w:val="0"/>
        <w:snapToGrid w:val="0"/>
        <w:spacing w:line="360" w:lineRule="auto"/>
        <w:ind w:right="-10"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注： 1、 谈判小组决定谈判的响应性只根据谈判响应文件本身的内容，而不寻求其他的外部证据。2、供应商/必须通过上述全部指标，有一项未通过将不进入后续价格评审。</w:t>
      </w:r>
    </w:p>
    <w:p>
      <w:pPr>
        <w:shd w:val="clear"/>
        <w:adjustRightInd w:val="0"/>
        <w:snapToGrid w:val="0"/>
        <w:spacing w:line="360" w:lineRule="auto"/>
        <w:ind w:right="-10"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第七条</w:t>
      </w:r>
      <w:r>
        <w:rPr>
          <w:rFonts w:hint="eastAsia" w:ascii="仿宋" w:hAnsi="仿宋" w:eastAsia="仿宋" w:cs="仿宋"/>
          <w:color w:val="auto"/>
          <w:sz w:val="28"/>
          <w:szCs w:val="28"/>
          <w:highlight w:val="none"/>
        </w:rPr>
        <w:t xml:space="preserve"> 有效投标应符合以下原则：</w:t>
      </w:r>
    </w:p>
    <w:p>
      <w:pPr>
        <w:shd w:val="clear"/>
        <w:adjustRightInd w:val="0"/>
        <w:snapToGrid w:val="0"/>
        <w:spacing w:line="360" w:lineRule="auto"/>
        <w:ind w:left="480" w:right="-1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1、满足竞争性谈判文件的实质性要求；</w:t>
      </w:r>
    </w:p>
    <w:p>
      <w:pPr>
        <w:shd w:val="clear"/>
        <w:adjustRightInd w:val="0"/>
        <w:snapToGrid w:val="0"/>
        <w:spacing w:line="360" w:lineRule="auto"/>
        <w:ind w:left="480" w:right="-1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2、无重大偏离、无采购人不能接受的附加条件；</w:t>
      </w:r>
    </w:p>
    <w:p>
      <w:pPr>
        <w:shd w:val="clear"/>
        <w:adjustRightInd w:val="0"/>
        <w:snapToGrid w:val="0"/>
        <w:spacing w:line="360" w:lineRule="auto"/>
        <w:ind w:left="480" w:right="-1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3、通过投标有效性评审；</w:t>
      </w:r>
    </w:p>
    <w:p>
      <w:pPr>
        <w:shd w:val="clear"/>
        <w:adjustRightInd w:val="0"/>
        <w:snapToGrid w:val="0"/>
        <w:spacing w:line="360" w:lineRule="auto"/>
        <w:ind w:left="480" w:right="-10"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4、谈判小组依据竞争性谈判文件认定的其他原则。</w:t>
      </w:r>
    </w:p>
    <w:p>
      <w:pPr>
        <w:shd w:val="clear"/>
        <w:adjustRightInd w:val="0"/>
        <w:snapToGrid w:val="0"/>
        <w:spacing w:line="360" w:lineRule="auto"/>
        <w:ind w:firstLine="562" w:firstLineChars="200"/>
        <w:jc w:val="left"/>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zh-CN"/>
        </w:rPr>
        <w:t>第八条</w:t>
      </w:r>
      <w:r>
        <w:rPr>
          <w:rFonts w:hint="eastAsia" w:ascii="仿宋" w:hAnsi="仿宋" w:eastAsia="仿宋" w:cs="仿宋"/>
          <w:color w:val="auto"/>
          <w:sz w:val="28"/>
          <w:szCs w:val="28"/>
          <w:highlight w:val="none"/>
          <w:lang w:val="zh-CN"/>
        </w:rPr>
        <w:t>初步评审通过后</w:t>
      </w:r>
      <w:r>
        <w:rPr>
          <w:rFonts w:hint="eastAsia" w:ascii="仿宋" w:hAnsi="仿宋" w:eastAsia="仿宋" w:cs="仿宋"/>
          <w:color w:val="auto"/>
          <w:sz w:val="28"/>
          <w:szCs w:val="28"/>
          <w:highlight w:val="none"/>
        </w:rPr>
        <w:t>谈判开始，由竞争性谈判小组与供应商谈各项内容。</w:t>
      </w:r>
    </w:p>
    <w:p>
      <w:pPr>
        <w:shd w:val="clear"/>
        <w:adjustRightInd w:val="0"/>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谈判小组所有成员集中与单一供应商按照递交响应文件的先后的顺序分别进行谈判。谈判小组可根据供应商的单价报价，响应内容及谈判的情况，给予每个供应商谈判机会。在谈判过程中，谈判小组可以根据谈判文件和谈判情况实质性变动采购需求中的技术、服务要求以及合同草案条款，但不得变动谈判文件中的其他内容。实质性变动的内容，须经采购人代表确认。对谈判文件做出的实质性变动是谈判文件的有效组成部分，谈判小组应当及时以书面形式同时通知所有参加谈判的供应商。 谈判结束后，谈判小组应当要求参加谈判的供应商在规定时间内提交最终投标报价，并由其授权代表签字加盖单位公章（二轮报价不得高于首轮投标报价，且二轮投标报价即为最终投标报价）。提交最终投标报价的供应商不得少于3家。</w:t>
      </w:r>
    </w:p>
    <w:p>
      <w:pPr>
        <w:shd w:val="clear"/>
        <w:adjustRightInd w:val="0"/>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谈判小组评审报价时，所有初步评审通过的供应商，以“二轮报价即最终报价表”内投标报价作为评审报价的依据以及最终成交价格。谈判小组按照供应商最终投标报价由低到高顺序排序，推荐排名前1～3名供应商作为成交候选人。</w:t>
      </w:r>
    </w:p>
    <w:p>
      <w:pPr>
        <w:shd w:val="clear"/>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 xml:space="preserve">第九条 </w:t>
      </w:r>
      <w:r>
        <w:rPr>
          <w:rFonts w:hint="eastAsia" w:ascii="仿宋" w:hAnsi="仿宋" w:eastAsia="仿宋" w:cs="仿宋"/>
          <w:color w:val="auto"/>
          <w:sz w:val="28"/>
          <w:szCs w:val="28"/>
          <w:highlight w:val="none"/>
        </w:rPr>
        <w:t>因落实政府采购政策进行价格调整的，</w:t>
      </w:r>
      <w:r>
        <w:rPr>
          <w:rFonts w:hint="eastAsia" w:ascii="仿宋" w:hAnsi="仿宋" w:eastAsia="仿宋" w:cs="仿宋"/>
          <w:b/>
          <w:bCs/>
          <w:color w:val="auto"/>
          <w:sz w:val="28"/>
          <w:szCs w:val="28"/>
          <w:highlight w:val="none"/>
        </w:rPr>
        <w:t>以调整后的价格由低到高顺序排序</w:t>
      </w:r>
      <w:r>
        <w:rPr>
          <w:rFonts w:hint="eastAsia" w:ascii="仿宋" w:hAnsi="仿宋" w:eastAsia="仿宋" w:cs="仿宋"/>
          <w:color w:val="auto"/>
          <w:sz w:val="28"/>
          <w:szCs w:val="28"/>
          <w:highlight w:val="none"/>
        </w:rPr>
        <w:t>，并推荐排名前1～3名供应商作为成交候选人。本项目对小型和微型企业提供的投标价格给予</w:t>
      </w:r>
      <w:r>
        <w:rPr>
          <w:rFonts w:hint="eastAsia" w:ascii="仿宋" w:hAnsi="仿宋" w:eastAsia="仿宋" w:cs="仿宋"/>
          <w:b/>
          <w:bCs/>
          <w:color w:val="auto"/>
          <w:sz w:val="28"/>
          <w:szCs w:val="28"/>
          <w:highlight w:val="none"/>
        </w:rPr>
        <w:t>6%</w:t>
      </w:r>
      <w:r>
        <w:rPr>
          <w:rFonts w:hint="eastAsia" w:ascii="仿宋" w:hAnsi="仿宋" w:eastAsia="仿宋" w:cs="仿宋"/>
          <w:color w:val="auto"/>
          <w:sz w:val="28"/>
          <w:szCs w:val="28"/>
          <w:highlight w:val="none"/>
        </w:rPr>
        <w:t>的政策优惠，对中型企业提供的投标价格给予</w:t>
      </w:r>
      <w:r>
        <w:rPr>
          <w:rFonts w:hint="eastAsia" w:ascii="仿宋" w:hAnsi="仿宋" w:eastAsia="仿宋" w:cs="仿宋"/>
          <w:b/>
          <w:bCs/>
          <w:color w:val="auto"/>
          <w:sz w:val="28"/>
          <w:szCs w:val="28"/>
          <w:highlight w:val="none"/>
        </w:rPr>
        <w:t>3%</w:t>
      </w:r>
      <w:r>
        <w:rPr>
          <w:rFonts w:hint="eastAsia" w:ascii="仿宋" w:hAnsi="仿宋" w:eastAsia="仿宋" w:cs="仿宋"/>
          <w:color w:val="auto"/>
          <w:sz w:val="28"/>
          <w:szCs w:val="28"/>
          <w:highlight w:val="none"/>
        </w:rPr>
        <w:t>的政策优惠，用政策优惠后的价格参与排序。供应商自行计算政策优惠后价格，供谈判小组核验。享受中小微企业报价优惠政策的供应商需要按照竞争性谈判文件的要求，提供中小企业声明函及证明材料。</w:t>
      </w:r>
    </w:p>
    <w:p>
      <w:pPr>
        <w:shd w:val="clear"/>
        <w:adjustRightInd w:val="0"/>
        <w:snapToGrid w:val="0"/>
        <w:spacing w:line="360" w:lineRule="auto"/>
        <w:ind w:right="-10"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第十条</w:t>
      </w:r>
      <w:r>
        <w:rPr>
          <w:rFonts w:hint="eastAsia" w:ascii="仿宋" w:hAnsi="仿宋" w:eastAsia="仿宋" w:cs="仿宋"/>
          <w:color w:val="auto"/>
          <w:sz w:val="28"/>
          <w:szCs w:val="28"/>
          <w:highlight w:val="none"/>
        </w:rPr>
        <w:t xml:space="preserve"> 评审中，谈判小组发现供应商的响应文件中对同类问题表述不一致、前后矛盾、有明显文字和计算错误的内容、有可能不符合竞争性谈判文件规定等情况需要澄清时，谈判小组将以询标的方式告知并要求供应商以书面方式进行必要的澄清、说明。对于询标后判定为不符合竞争性谈判文件的响应文件，评委要提出充足的否定理由。最终对供应商的评审结论分为通过和未通过。</w:t>
      </w:r>
    </w:p>
    <w:p>
      <w:pPr>
        <w:widowControl/>
        <w:shd w:val="clear"/>
        <w:adjustRightInd w:val="0"/>
        <w:snapToGrid w:val="0"/>
        <w:spacing w:before="0" w:beforeAutospacing="0" w:after="0" w:afterAutospacing="0" w:line="360" w:lineRule="auto"/>
        <w:ind w:firstLine="562" w:firstLineChars="200"/>
        <w:jc w:val="left"/>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b/>
          <w:color w:val="auto"/>
          <w:kern w:val="0"/>
          <w:sz w:val="28"/>
          <w:szCs w:val="28"/>
          <w:highlight w:val="none"/>
          <w:lang w:val="en-US" w:eastAsia="zh-CN" w:bidi="ar-SA"/>
        </w:rPr>
        <w:t>第十一条</w:t>
      </w:r>
      <w:r>
        <w:rPr>
          <w:rFonts w:hint="eastAsia" w:ascii="仿宋" w:hAnsi="仿宋" w:eastAsia="仿宋" w:cs="仿宋"/>
          <w:color w:val="auto"/>
          <w:kern w:val="0"/>
          <w:sz w:val="28"/>
          <w:szCs w:val="28"/>
          <w:highlight w:val="none"/>
          <w:lang w:val="en-US" w:eastAsia="zh-CN" w:bidi="ar-SA"/>
        </w:rPr>
        <w:t xml:space="preserve"> 投标截止后</w:t>
      </w:r>
      <w:r>
        <w:rPr>
          <w:rFonts w:hint="eastAsia" w:ascii="仿宋" w:hAnsi="仿宋" w:eastAsia="仿宋" w:cs="仿宋"/>
          <w:bCs/>
          <w:color w:val="auto"/>
          <w:kern w:val="0"/>
          <w:sz w:val="28"/>
          <w:szCs w:val="28"/>
          <w:highlight w:val="none"/>
          <w:lang w:val="en-US" w:eastAsia="zh-CN" w:bidi="ar-SA"/>
        </w:rPr>
        <w:t>供应商不足3家</w:t>
      </w:r>
      <w:r>
        <w:rPr>
          <w:rFonts w:hint="eastAsia" w:ascii="仿宋" w:hAnsi="仿宋" w:eastAsia="仿宋" w:cs="仿宋"/>
          <w:color w:val="auto"/>
          <w:kern w:val="0"/>
          <w:sz w:val="28"/>
          <w:szCs w:val="28"/>
          <w:highlight w:val="none"/>
          <w:lang w:val="en-US" w:eastAsia="zh-CN" w:bidi="ar-SA"/>
        </w:rPr>
        <w:t>的，除采购任务取消情形外，按照以下方式处理：</w:t>
      </w:r>
    </w:p>
    <w:p>
      <w:pPr>
        <w:widowControl/>
        <w:shd w:val="clear"/>
        <w:adjustRightInd w:val="0"/>
        <w:snapToGrid w:val="0"/>
        <w:spacing w:before="0" w:beforeAutospacing="0" w:after="0" w:afterAutospacing="0" w:line="360" w:lineRule="auto"/>
        <w:ind w:firstLine="560" w:firstLineChars="200"/>
        <w:jc w:val="left"/>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1、竞争性谈判文件存在不合理条款或者采购程序不符合规定的，采购人、采购代理机构改正后依法重新采购；</w:t>
      </w:r>
    </w:p>
    <w:p>
      <w:pPr>
        <w:widowControl/>
        <w:shd w:val="clear"/>
        <w:adjustRightInd w:val="0"/>
        <w:snapToGrid w:val="0"/>
        <w:spacing w:before="0" w:beforeAutospacing="0" w:after="0" w:afterAutospacing="0" w:line="360" w:lineRule="auto"/>
        <w:ind w:firstLine="560" w:firstLineChars="200"/>
        <w:jc w:val="left"/>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2、竞争性谈判文件没有不合理条款、采购程序符合规定，需要采用其他采购方式采购的，采购人应当依法报财政部门批准。</w:t>
      </w:r>
    </w:p>
    <w:p>
      <w:pPr>
        <w:shd w:val="clear"/>
        <w:adjustRightInd w:val="0"/>
        <w:snapToGrid w:val="0"/>
        <w:spacing w:line="360" w:lineRule="auto"/>
        <w:ind w:right="-10"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第十二条</w:t>
      </w:r>
      <w:r>
        <w:rPr>
          <w:rFonts w:hint="eastAsia" w:ascii="仿宋" w:hAnsi="仿宋" w:eastAsia="仿宋" w:cs="仿宋"/>
          <w:bCs/>
          <w:color w:val="auto"/>
          <w:sz w:val="28"/>
          <w:szCs w:val="28"/>
          <w:highlight w:val="none"/>
        </w:rPr>
        <w:t>评委独立评审后，谈判小组对供应商某项指标如有不同意见</w:t>
      </w:r>
      <w:r>
        <w:rPr>
          <w:rFonts w:hint="eastAsia" w:ascii="仿宋" w:hAnsi="仿宋" w:eastAsia="仿宋" w:cs="仿宋"/>
          <w:color w:val="auto"/>
          <w:sz w:val="28"/>
          <w:szCs w:val="28"/>
          <w:highlight w:val="none"/>
        </w:rPr>
        <w:t>，按照少数服从多数的原则，确定该项指标是否通过。</w:t>
      </w:r>
    </w:p>
    <w:p>
      <w:pPr>
        <w:shd w:val="clear"/>
        <w:adjustRightInd w:val="0"/>
        <w:snapToGrid w:val="0"/>
        <w:spacing w:line="360" w:lineRule="auto"/>
        <w:ind w:right="-10"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第十三条 </w:t>
      </w:r>
      <w:r>
        <w:rPr>
          <w:rFonts w:hint="eastAsia" w:ascii="仿宋" w:hAnsi="仿宋" w:eastAsia="仿宋" w:cs="仿宋"/>
          <w:color w:val="auto"/>
          <w:sz w:val="28"/>
          <w:szCs w:val="28"/>
          <w:highlight w:val="none"/>
        </w:rPr>
        <w:t>推荐成交候选人环节，如果最终报价相同的，则采取供应商摇号方式确定成交候选人。</w:t>
      </w:r>
    </w:p>
    <w:p>
      <w:pPr>
        <w:shd w:val="clear"/>
        <w:adjustRightInd w:val="0"/>
        <w:snapToGrid w:val="0"/>
        <w:spacing w:line="360" w:lineRule="auto"/>
        <w:ind w:right="-10"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 xml:space="preserve">第十四条 </w:t>
      </w:r>
      <w:r>
        <w:rPr>
          <w:rFonts w:hint="eastAsia" w:ascii="仿宋" w:hAnsi="仿宋" w:eastAsia="仿宋" w:cs="仿宋"/>
          <w:color w:val="auto"/>
          <w:sz w:val="28"/>
          <w:szCs w:val="28"/>
          <w:highlight w:val="none"/>
        </w:rPr>
        <w:t>摇号细则：摇号细则：每家单位递交响应文件时的顺序号即为摇号时代表其公司的编号，由代理机构工作人员点击启动键。先摇出的号排名靠前，后摇出的号排名靠后。</w:t>
      </w:r>
    </w:p>
    <w:p>
      <w:pPr>
        <w:widowControl w:val="0"/>
        <w:shd w:val="clear"/>
        <w:adjustRightInd w:val="0"/>
        <w:snapToGrid w:val="0"/>
        <w:spacing w:line="360" w:lineRule="auto"/>
        <w:ind w:right="-10" w:firstLine="422"/>
        <w:jc w:val="both"/>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b/>
          <w:color w:val="auto"/>
          <w:kern w:val="0"/>
          <w:sz w:val="28"/>
          <w:szCs w:val="28"/>
          <w:highlight w:val="none"/>
          <w:lang w:val="en-US" w:eastAsia="zh-CN" w:bidi="ar-SA"/>
        </w:rPr>
        <w:t>第</w:t>
      </w:r>
      <w:r>
        <w:rPr>
          <w:rFonts w:hint="eastAsia" w:ascii="仿宋" w:hAnsi="仿宋" w:eastAsia="仿宋" w:cs="仿宋"/>
          <w:b/>
          <w:bCs/>
          <w:color w:val="auto"/>
          <w:kern w:val="0"/>
          <w:sz w:val="28"/>
          <w:szCs w:val="28"/>
          <w:highlight w:val="none"/>
          <w:lang w:val="en-US" w:eastAsia="zh-CN" w:bidi="ar-SA"/>
        </w:rPr>
        <w:t>十五</w:t>
      </w:r>
      <w:r>
        <w:rPr>
          <w:rFonts w:hint="eastAsia" w:ascii="仿宋" w:hAnsi="仿宋" w:eastAsia="仿宋" w:cs="仿宋"/>
          <w:b/>
          <w:color w:val="auto"/>
          <w:kern w:val="0"/>
          <w:sz w:val="28"/>
          <w:szCs w:val="28"/>
          <w:highlight w:val="none"/>
          <w:lang w:val="en-US" w:eastAsia="zh-CN" w:bidi="ar-SA"/>
        </w:rPr>
        <w:t xml:space="preserve">条 </w:t>
      </w:r>
      <w:r>
        <w:rPr>
          <w:rFonts w:hint="eastAsia" w:ascii="仿宋" w:hAnsi="仿宋" w:eastAsia="仿宋" w:cs="仿宋"/>
          <w:color w:val="auto"/>
          <w:kern w:val="0"/>
          <w:sz w:val="28"/>
          <w:szCs w:val="28"/>
          <w:highlight w:val="none"/>
          <w:lang w:val="en-US" w:eastAsia="zh-CN" w:bidi="ar-SA"/>
        </w:rPr>
        <w:t>谈判小组在评标过程中发现的问题，应当及时做出处理或者向采购人提出处理建议，并作书面记录。</w:t>
      </w:r>
    </w:p>
    <w:p>
      <w:pPr>
        <w:widowControl w:val="0"/>
        <w:shd w:val="clear"/>
        <w:adjustRightInd w:val="0"/>
        <w:snapToGrid w:val="0"/>
        <w:spacing w:line="360" w:lineRule="auto"/>
        <w:ind w:right="-10" w:firstLine="422"/>
        <w:jc w:val="both"/>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b/>
          <w:color w:val="auto"/>
          <w:kern w:val="0"/>
          <w:sz w:val="28"/>
          <w:szCs w:val="28"/>
          <w:highlight w:val="none"/>
          <w:lang w:val="en-US" w:eastAsia="zh-CN" w:bidi="ar-SA"/>
        </w:rPr>
        <w:t>第</w:t>
      </w:r>
      <w:r>
        <w:rPr>
          <w:rFonts w:hint="eastAsia" w:ascii="仿宋" w:hAnsi="仿宋" w:eastAsia="仿宋" w:cs="仿宋"/>
          <w:b/>
          <w:bCs/>
          <w:color w:val="auto"/>
          <w:kern w:val="0"/>
          <w:sz w:val="28"/>
          <w:szCs w:val="28"/>
          <w:highlight w:val="none"/>
          <w:lang w:val="en-US" w:eastAsia="zh-CN" w:bidi="ar-SA"/>
        </w:rPr>
        <w:t>十</w:t>
      </w:r>
      <w:r>
        <w:rPr>
          <w:rFonts w:hint="eastAsia" w:ascii="仿宋" w:hAnsi="仿宋" w:eastAsia="仿宋" w:cs="仿宋"/>
          <w:b/>
          <w:color w:val="auto"/>
          <w:kern w:val="0"/>
          <w:sz w:val="28"/>
          <w:szCs w:val="28"/>
          <w:highlight w:val="none"/>
          <w:lang w:val="en-US" w:eastAsia="zh-CN" w:bidi="ar-SA"/>
        </w:rPr>
        <w:t xml:space="preserve">六条 </w:t>
      </w:r>
      <w:r>
        <w:rPr>
          <w:rFonts w:hint="eastAsia" w:ascii="仿宋" w:hAnsi="仿宋" w:eastAsia="仿宋" w:cs="仿宋"/>
          <w:color w:val="auto"/>
          <w:kern w:val="0"/>
          <w:sz w:val="28"/>
          <w:szCs w:val="28"/>
          <w:highlight w:val="none"/>
          <w:lang w:val="en-US" w:eastAsia="zh-CN" w:bidi="ar-SA"/>
        </w:rPr>
        <w:t>在评审过程中，谈判小组发现供应商的报价或者某些分项报价明显不合理或者低于成本，有可能影响商品质量和不能诚信履约的，应当要求其在规定的期限内提供文件予以解释说明，并提交相关证明材料；否则，谈判小组可以取消该供应商的中标候选资格，按顺序由排在后面的成交候选人递补，以此类推。</w:t>
      </w:r>
    </w:p>
    <w:p>
      <w:pPr>
        <w:shd w:val="clear"/>
        <w:adjustRightInd w:val="0"/>
        <w:snapToGrid w:val="0"/>
        <w:spacing w:line="360" w:lineRule="auto"/>
        <w:ind w:right="-10"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第十七条</w:t>
      </w:r>
      <w:r>
        <w:rPr>
          <w:rFonts w:hint="eastAsia" w:ascii="仿宋" w:hAnsi="仿宋" w:eastAsia="仿宋" w:cs="仿宋"/>
          <w:color w:val="auto"/>
          <w:sz w:val="28"/>
          <w:szCs w:val="28"/>
          <w:highlight w:val="none"/>
        </w:rPr>
        <w:t xml:space="preserve"> 评标后，竞争性谈判小组应制作评标报告。谈判小组全体成员均须在评标报告上签字。评审报告应如实记录本次评标的主要过程，全面反映评标过程中的各种不同的意见，以及其他澄清、说明、补正事项。对评审报告有异议的竞争性谈判小组成员，应当在报告上签署不同意见并说明理由，由竞争性谈判小组书面记录相关情况。竞争性谈判小组成员拒绝在报告上签字又不书面说明其不同意见和理由的，视为同意评审报告。</w:t>
      </w:r>
    </w:p>
    <w:p>
      <w:pPr>
        <w:shd w:val="clea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第十</w:t>
      </w:r>
      <w:r>
        <w:rPr>
          <w:rFonts w:hint="eastAsia" w:ascii="仿宋" w:hAnsi="仿宋" w:eastAsia="仿宋" w:cs="仿宋"/>
          <w:b/>
          <w:bCs/>
          <w:color w:val="auto"/>
          <w:sz w:val="28"/>
          <w:szCs w:val="28"/>
          <w:highlight w:val="none"/>
        </w:rPr>
        <w:t>八</w:t>
      </w:r>
      <w:r>
        <w:rPr>
          <w:rFonts w:hint="eastAsia" w:ascii="仿宋" w:hAnsi="仿宋" w:eastAsia="仿宋" w:cs="仿宋"/>
          <w:b/>
          <w:color w:val="auto"/>
          <w:sz w:val="28"/>
          <w:szCs w:val="28"/>
          <w:highlight w:val="none"/>
        </w:rPr>
        <w:t xml:space="preserve">条 </w:t>
      </w:r>
      <w:r>
        <w:rPr>
          <w:rFonts w:hint="eastAsia" w:ascii="仿宋" w:hAnsi="仿宋" w:eastAsia="仿宋" w:cs="仿宋"/>
          <w:color w:val="auto"/>
          <w:sz w:val="28"/>
          <w:szCs w:val="28"/>
          <w:highlight w:val="none"/>
        </w:rPr>
        <w:t>流标原因分析会：当本项目流标，由评标委员会负责人牵头组织流标原因分析会，分析此次采购工作交易失败的具体原因，分析采购文件编制是否符合规范要求、是否存在不合理条款，并对本项目重新采购提出意见和建议。</w:t>
      </w:r>
    </w:p>
    <w:p>
      <w:pPr>
        <w:shd w:val="clear"/>
        <w:adjustRightInd w:val="0"/>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第十</w:t>
      </w:r>
      <w:r>
        <w:rPr>
          <w:rFonts w:hint="eastAsia" w:ascii="仿宋" w:hAnsi="仿宋" w:eastAsia="仿宋" w:cs="仿宋"/>
          <w:b/>
          <w:bCs/>
          <w:color w:val="auto"/>
          <w:sz w:val="28"/>
          <w:szCs w:val="28"/>
          <w:highlight w:val="none"/>
        </w:rPr>
        <w:t>九</w:t>
      </w:r>
      <w:r>
        <w:rPr>
          <w:rFonts w:hint="eastAsia" w:ascii="仿宋" w:hAnsi="仿宋" w:eastAsia="仿宋" w:cs="仿宋"/>
          <w:b/>
          <w:color w:val="auto"/>
          <w:sz w:val="28"/>
          <w:szCs w:val="28"/>
          <w:highlight w:val="none"/>
        </w:rPr>
        <w:t xml:space="preserve">条 </w:t>
      </w:r>
      <w:r>
        <w:rPr>
          <w:rFonts w:hint="eastAsia" w:ascii="仿宋" w:hAnsi="仿宋" w:eastAsia="仿宋" w:cs="仿宋"/>
          <w:color w:val="auto"/>
          <w:sz w:val="28"/>
          <w:szCs w:val="28"/>
          <w:highlight w:val="none"/>
        </w:rPr>
        <w:t>争议解决方案：竞争性谈判小组在评审过程中产生争议，按照以下方式形成统一意见：如因竞争性谈判文件语言表达不明确导致存在理解偏差，则按照有利于供应商一方的标准统一判定。如因响应文件编制不明确导致存在理解偏差，则按照不利于供应商一方的标准统一判定。</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发生争议时，由竞争性谈判小组组长牵头组织谈判小组成员各自表达自身意见，并对判定意见进行举手表决，以少数服从多数原则进行统一。竞争性谈判小组全体成员必须在评标报告中签字，如有不同意见必须在评标报告中写明，如谈判小组成员未在评审纪要上签字或未提供不同意见的，视为认可评审纪要的全部内容。</w:t>
      </w:r>
    </w:p>
    <w:p>
      <w:pPr>
        <w:shd w:val="clear"/>
        <w:adjustRightInd w:val="0"/>
        <w:snapToGrid w:val="0"/>
        <w:spacing w:line="360" w:lineRule="auto"/>
        <w:ind w:right="-10" w:firstLine="562" w:firstLineChars="200"/>
        <w:jc w:val="center"/>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三．评标纪律</w:t>
      </w:r>
    </w:p>
    <w:p>
      <w:pPr>
        <w:shd w:val="clear"/>
        <w:adjustRightInd w:val="0"/>
        <w:snapToGrid w:val="0"/>
        <w:spacing w:line="360" w:lineRule="auto"/>
        <w:ind w:firstLine="562" w:firstLineChars="200"/>
        <w:jc w:val="left"/>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第二十条</w:t>
      </w:r>
      <w:r>
        <w:rPr>
          <w:rFonts w:hint="eastAsia" w:ascii="仿宋" w:hAnsi="仿宋" w:eastAsia="仿宋" w:cs="仿宋"/>
          <w:color w:val="auto"/>
          <w:sz w:val="28"/>
          <w:szCs w:val="28"/>
          <w:highlight w:val="none"/>
        </w:rPr>
        <w:t>谈判小组和评标工作人员应严格遵守国家的法律、法规和规章制度；严格按照本次竞争性谈判文件进行评标；公正廉洁、不徇私情，不得损害国家利益；保护招、供应商的合法权益。</w:t>
      </w:r>
    </w:p>
    <w:p>
      <w:pPr>
        <w:shd w:val="clear"/>
        <w:adjustRightInd w:val="0"/>
        <w:snapToGrid w:val="0"/>
        <w:spacing w:line="360" w:lineRule="auto"/>
        <w:ind w:right="-10"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第二十一条</w:t>
      </w:r>
      <w:r>
        <w:rPr>
          <w:rFonts w:hint="eastAsia" w:ascii="仿宋" w:hAnsi="仿宋" w:eastAsia="仿宋" w:cs="仿宋"/>
          <w:color w:val="auto"/>
          <w:sz w:val="28"/>
          <w:szCs w:val="28"/>
          <w:highlight w:val="none"/>
        </w:rPr>
        <w:t xml:space="preserve"> 在评标过程中，评委、秘书组及其他评标工作人员必须对评标情况严格保密，任何人不得将评标情况透露给与供应商有关的单位和个人。如有违反评标纪律的情况发生，将依据《中华人民共和国政府采购法》及其他有关法律法规的规定，追究有关当事人的责任。</w:t>
      </w:r>
    </w:p>
    <w:p>
      <w:pPr>
        <w:shd w:val="clear"/>
        <w:adjustRightInd w:val="0"/>
        <w:snapToGrid w:val="0"/>
        <w:spacing w:line="360" w:lineRule="auto"/>
        <w:ind w:firstLine="550" w:firstLineChars="196"/>
        <w:rPr>
          <w:rFonts w:hint="eastAsia" w:ascii="仿宋" w:hAnsi="仿宋" w:eastAsia="仿宋" w:cs="仿宋"/>
          <w:bCs/>
          <w:color w:val="auto"/>
          <w:sz w:val="28"/>
          <w:szCs w:val="28"/>
          <w:highlight w:val="none"/>
        </w:rPr>
      </w:pPr>
      <w:r>
        <w:rPr>
          <w:rFonts w:hint="eastAsia" w:ascii="仿宋" w:hAnsi="仿宋" w:eastAsia="仿宋" w:cs="仿宋"/>
          <w:b/>
          <w:bCs/>
          <w:color w:val="auto"/>
          <w:sz w:val="28"/>
          <w:szCs w:val="28"/>
          <w:highlight w:val="none"/>
        </w:rPr>
        <w:t xml:space="preserve">第二十二条 </w:t>
      </w:r>
      <w:r>
        <w:rPr>
          <w:rFonts w:hint="eastAsia" w:ascii="仿宋" w:hAnsi="仿宋" w:eastAsia="仿宋" w:cs="仿宋"/>
          <w:bCs/>
          <w:color w:val="auto"/>
          <w:sz w:val="28"/>
          <w:szCs w:val="28"/>
          <w:highlight w:val="none"/>
        </w:rPr>
        <w:t>本评标办法的解释权属于采购人。</w:t>
      </w:r>
    </w:p>
    <w:p>
      <w:pPr>
        <w:widowControl/>
        <w:shd w:val="clear"/>
        <w:adjustRightInd w:val="0"/>
        <w:snapToGrid w:val="0"/>
        <w:jc w:val="left"/>
        <w:rPr>
          <w:rFonts w:hint="eastAsia" w:ascii="仿宋" w:hAnsi="仿宋" w:eastAsia="仿宋" w:cs="仿宋"/>
          <w:b/>
          <w:bCs/>
          <w:color w:val="auto"/>
          <w:sz w:val="28"/>
          <w:szCs w:val="28"/>
          <w:highlight w:val="none"/>
        </w:rPr>
      </w:pPr>
    </w:p>
    <w:p>
      <w:pPr>
        <w:shd w:val="clear"/>
        <w:adjustRightInd w:val="0"/>
        <w:snapToGrid w:val="0"/>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pPr>
        <w:pStyle w:val="7"/>
        <w:shd w:val="clear"/>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eastAsia="zh-CN"/>
        </w:rPr>
        <w:t>附件</w:t>
      </w:r>
      <w:r>
        <w:rPr>
          <w:rFonts w:hint="eastAsia" w:ascii="仿宋_GB2312" w:hAnsi="仿宋_GB2312" w:eastAsia="仿宋_GB2312" w:cs="仿宋_GB2312"/>
          <w:b w:val="0"/>
          <w:bCs w:val="0"/>
          <w:color w:val="auto"/>
          <w:sz w:val="32"/>
          <w:szCs w:val="32"/>
          <w:highlight w:val="none"/>
          <w:lang w:val="en-US" w:eastAsia="zh-CN"/>
        </w:rPr>
        <w:t>4：</w:t>
      </w:r>
    </w:p>
    <w:p>
      <w:pPr>
        <w:keepNext w:val="0"/>
        <w:keepLines w:val="0"/>
        <w:pageBreakBefore w:val="0"/>
        <w:widowControl w:val="0"/>
        <w:shd w:val="clear"/>
        <w:kinsoku/>
        <w:wordWrap/>
        <w:overflowPunct/>
        <w:topLinePunct w:val="0"/>
        <w:autoSpaceDE/>
        <w:autoSpaceDN/>
        <w:bidi w:val="0"/>
        <w:adjustRightInd w:val="0"/>
        <w:snapToGrid w:val="0"/>
        <w:spacing w:line="500" w:lineRule="exact"/>
        <w:ind w:right="-10"/>
        <w:jc w:val="center"/>
        <w:textAlignment w:val="auto"/>
        <w:rPr>
          <w:rFonts w:hint="eastAsia" w:ascii="方正小标宋简体" w:hAnsi="方正小标宋简体" w:eastAsia="方正小标宋简体" w:cs="方正小标宋简体"/>
          <w:b w:val="0"/>
          <w:bCs w:val="0"/>
          <w:color w:val="auto"/>
          <w:kern w:val="44"/>
          <w:sz w:val="44"/>
          <w:szCs w:val="44"/>
          <w:highlight w:val="none"/>
          <w:lang w:val="en-US" w:eastAsia="zh-CN" w:bidi="ar-SA"/>
        </w:rPr>
      </w:pPr>
      <w:r>
        <w:rPr>
          <w:rFonts w:hint="eastAsia" w:ascii="方正小标宋简体" w:hAnsi="方正小标宋简体" w:eastAsia="方正小标宋简体" w:cs="方正小标宋简体"/>
          <w:b w:val="0"/>
          <w:bCs w:val="0"/>
          <w:color w:val="auto"/>
          <w:kern w:val="44"/>
          <w:sz w:val="44"/>
          <w:szCs w:val="44"/>
          <w:highlight w:val="none"/>
          <w:lang w:val="en-US" w:eastAsia="zh-CN" w:bidi="ar-SA"/>
        </w:rPr>
        <w:t>评标办法相关政策文件</w:t>
      </w:r>
    </w:p>
    <w:p>
      <w:pPr>
        <w:keepNext w:val="0"/>
        <w:keepLines w:val="0"/>
        <w:pageBreakBefore w:val="0"/>
        <w:widowControl w:val="0"/>
        <w:shd w:val="clear"/>
        <w:kinsoku/>
        <w:wordWrap/>
        <w:overflowPunct/>
        <w:topLinePunct w:val="0"/>
        <w:autoSpaceDE/>
        <w:autoSpaceDN/>
        <w:bidi w:val="0"/>
        <w:adjustRightInd w:val="0"/>
        <w:snapToGrid w:val="0"/>
        <w:spacing w:line="500" w:lineRule="exact"/>
        <w:ind w:firstLine="562" w:firstLineChars="200"/>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《政府采购促进中小企业发展暂行办法》的通知</w:t>
      </w:r>
    </w:p>
    <w:p>
      <w:pPr>
        <w:keepNext w:val="0"/>
        <w:keepLines w:val="0"/>
        <w:pageBreakBefore w:val="0"/>
        <w:widowControl w:val="0"/>
        <w:shd w:val="clear"/>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中小企业（含中型、小型、微型企业，）应当同时符合以下条件：</w:t>
      </w:r>
    </w:p>
    <w:p>
      <w:pPr>
        <w:keepNext w:val="0"/>
        <w:keepLines w:val="0"/>
        <w:pageBreakBefore w:val="0"/>
        <w:widowControl w:val="0"/>
        <w:shd w:val="clear"/>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（一）符合中小企业划分标准；</w:t>
      </w:r>
    </w:p>
    <w:p>
      <w:pPr>
        <w:keepNext w:val="0"/>
        <w:keepLines w:val="0"/>
        <w:pageBreakBefore w:val="0"/>
        <w:widowControl w:val="0"/>
        <w:shd w:val="clear"/>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（二）提供本企业制造的货物、承担的工程或者服务，或者提供其他中小企业制造的货物。本项所称货物不包括使用大型企业注册商标的货物。</w:t>
      </w:r>
    </w:p>
    <w:p>
      <w:pPr>
        <w:keepNext w:val="0"/>
        <w:keepLines w:val="0"/>
        <w:pageBreakBefore w:val="0"/>
        <w:widowControl w:val="0"/>
        <w:shd w:val="clear"/>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本办法所称中小企业划分标准，是指国务院有关部门根据企业从业人员、营业收入、资产总额等指标制定的中小企业划型标准。</w:t>
      </w:r>
    </w:p>
    <w:p>
      <w:pPr>
        <w:keepNext w:val="0"/>
        <w:keepLines w:val="0"/>
        <w:pageBreakBefore w:val="0"/>
        <w:widowControl w:val="0"/>
        <w:shd w:val="clear"/>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小型、微型企业提供中型企业制造的货物的，视同为中型企业。</w:t>
      </w:r>
    </w:p>
    <w:p>
      <w:pPr>
        <w:keepNext w:val="0"/>
        <w:keepLines w:val="0"/>
        <w:pageBreakBefore w:val="0"/>
        <w:widowControl w:val="0"/>
        <w:shd w:val="clear"/>
        <w:kinsoku/>
        <w:wordWrap/>
        <w:overflowPunct/>
        <w:topLinePunct w:val="0"/>
        <w:autoSpaceDE/>
        <w:autoSpaceDN/>
        <w:bidi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对于非专门面向中小企业的项目，采购人或者采购代理机构应当在采购文件做出规定，对小型和微型企业产品的价格给予6%～10%的扣除，用扣除后的价格参与评审，具体扣除比例由采购人或者采购代理机构确定。（因落实政府采购政策进行价格调整的，</w:t>
      </w:r>
      <w:r>
        <w:rPr>
          <w:rFonts w:hint="eastAsia" w:ascii="仿宋" w:hAnsi="仿宋" w:eastAsia="仿宋" w:cs="仿宋"/>
          <w:b/>
          <w:bCs/>
          <w:color w:val="auto"/>
          <w:sz w:val="28"/>
          <w:szCs w:val="28"/>
          <w:highlight w:val="none"/>
        </w:rPr>
        <w:t>以调整后的价格由低到高顺序排序</w:t>
      </w:r>
      <w:r>
        <w:rPr>
          <w:rFonts w:hint="eastAsia" w:ascii="仿宋" w:hAnsi="仿宋" w:eastAsia="仿宋" w:cs="仿宋"/>
          <w:color w:val="auto"/>
          <w:sz w:val="28"/>
          <w:szCs w:val="28"/>
          <w:highlight w:val="none"/>
        </w:rPr>
        <w:t>，并推荐排名前1～3名供应商作为成交候选人。本项目对小型和微型企业提供的投标价格给予</w:t>
      </w:r>
      <w:r>
        <w:rPr>
          <w:rFonts w:hint="eastAsia" w:ascii="仿宋" w:hAnsi="仿宋" w:eastAsia="仿宋" w:cs="仿宋"/>
          <w:b/>
          <w:bCs/>
          <w:color w:val="auto"/>
          <w:sz w:val="28"/>
          <w:szCs w:val="28"/>
          <w:highlight w:val="none"/>
        </w:rPr>
        <w:t>6%</w:t>
      </w:r>
      <w:r>
        <w:rPr>
          <w:rFonts w:hint="eastAsia" w:ascii="仿宋" w:hAnsi="仿宋" w:eastAsia="仿宋" w:cs="仿宋"/>
          <w:color w:val="auto"/>
          <w:sz w:val="28"/>
          <w:szCs w:val="28"/>
          <w:highlight w:val="none"/>
        </w:rPr>
        <w:t>的政策优惠，对中型企业提供的投标价格给予</w:t>
      </w:r>
      <w:r>
        <w:rPr>
          <w:rFonts w:hint="eastAsia" w:ascii="仿宋" w:hAnsi="仿宋" w:eastAsia="仿宋" w:cs="仿宋"/>
          <w:b/>
          <w:bCs/>
          <w:color w:val="auto"/>
          <w:sz w:val="28"/>
          <w:szCs w:val="28"/>
          <w:highlight w:val="none"/>
        </w:rPr>
        <w:t>3%</w:t>
      </w:r>
      <w:r>
        <w:rPr>
          <w:rFonts w:hint="eastAsia" w:ascii="仿宋" w:hAnsi="仿宋" w:eastAsia="仿宋" w:cs="仿宋"/>
          <w:color w:val="auto"/>
          <w:sz w:val="28"/>
          <w:szCs w:val="28"/>
          <w:highlight w:val="none"/>
        </w:rPr>
        <w:t>的政策优惠，用政策优惠后的价格参与排序。供应商自行计算政策优惠后价格，供谈判小组核验。享受中小微企业报价优惠政策的供应商需要按照竞争性谈判文件的要求，提供中小企业声明函及证明材料。）。</w:t>
      </w:r>
    </w:p>
    <w:p>
      <w:pPr>
        <w:keepNext w:val="0"/>
        <w:keepLines w:val="0"/>
        <w:pageBreakBefore w:val="0"/>
        <w:widowControl w:val="0"/>
        <w:shd w:val="clear"/>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参加政府采购活动的中小企业应当提供本办法规定的《中小企业声明函》（见附件）。</w:t>
      </w:r>
    </w:p>
    <w:p>
      <w:pPr>
        <w:keepNext w:val="0"/>
        <w:keepLines w:val="0"/>
        <w:pageBreakBefore w:val="0"/>
        <w:widowControl w:val="0"/>
        <w:shd w:val="clear"/>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第六条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本次采购项目中，不接受联合体投标）</w:t>
      </w:r>
    </w:p>
    <w:p>
      <w:pPr>
        <w:keepNext w:val="0"/>
        <w:keepLines w:val="0"/>
        <w:pageBreakBefore w:val="0"/>
        <w:widowControl w:val="0"/>
        <w:shd w:val="clear"/>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联合体各方均为小型、微型企业的，联合体视同为小型、微型企业享受本办法第四条、第五条规定的扶持政策。</w:t>
      </w:r>
    </w:p>
    <w:p>
      <w:pPr>
        <w:keepNext w:val="0"/>
        <w:keepLines w:val="0"/>
        <w:pageBreakBefore w:val="0"/>
        <w:widowControl w:val="0"/>
        <w:shd w:val="clear"/>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组成联合体的大中型企业和其他自然人、法人或者其他组织，与小型、微型企业之间不得存在投资关系。</w:t>
      </w:r>
    </w:p>
    <w:p>
      <w:pPr>
        <w:shd w:val="clear"/>
        <w:adjustRightInd w:val="0"/>
        <w:snapToGrid w:val="0"/>
        <w:spacing w:line="360" w:lineRule="auto"/>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br w:type="page"/>
      </w:r>
    </w:p>
    <w:p>
      <w:pPr>
        <w:shd w:val="clear"/>
        <w:adjustRightInd w:val="0"/>
        <w:snapToGrid w:val="0"/>
        <w:spacing w:line="360" w:lineRule="auto"/>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财政部《节能产品政府采购实施意见》</w:t>
      </w:r>
    </w:p>
    <w:p>
      <w:pPr>
        <w:shd w:val="clear"/>
        <w:adjustRightInd w:val="0"/>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财政部、国家发展和改革委员会综合考虑政府采购改革进展和节能产品技术及市场成熟等情况，从国家认可的节能产品认证机构认证的节能产品中按类别确定实行政府采购的范围，并以“节能产品政府采购清单”（以下简称“节能清单”）的形式公布。 </w:t>
      </w:r>
    </w:p>
    <w:p>
      <w:pPr>
        <w:shd w:val="clear"/>
        <w:adjustRightInd w:val="0"/>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节能清单中新增节能认证产品，将由财政部、国家发展和改革委员会以文件形式确定、公布并适时调整。 </w:t>
      </w:r>
    </w:p>
    <w:p>
      <w:pPr>
        <w:shd w:val="clear"/>
        <w:adjustRightInd w:val="0"/>
        <w:snapToGrid w:val="0"/>
        <w:spacing w:line="360" w:lineRule="auto"/>
        <w:ind w:firstLine="560" w:firstLineChars="20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中国政府采购网（http://www.ccgp.gov.cn/）、中国环境资源信息网（http://www.cern.gov.cn/）、中国节能节水认证网（http://www.cecp.org.cn/）为节能清单</w:t>
      </w:r>
      <w:r>
        <w:rPr>
          <w:rFonts w:hint="eastAsia" w:ascii="仿宋" w:hAnsi="仿宋" w:eastAsia="仿宋" w:cs="仿宋"/>
          <w:bCs/>
          <w:color w:val="auto"/>
          <w:sz w:val="28"/>
          <w:szCs w:val="28"/>
          <w:highlight w:val="none"/>
          <w:lang w:eastAsia="zh-CN"/>
        </w:rPr>
        <w:t>竞争性谈判公告</w:t>
      </w:r>
      <w:r>
        <w:rPr>
          <w:rFonts w:hint="eastAsia" w:ascii="仿宋" w:hAnsi="仿宋" w:eastAsia="仿宋" w:cs="仿宋"/>
          <w:bCs/>
          <w:color w:val="auto"/>
          <w:sz w:val="28"/>
          <w:szCs w:val="28"/>
          <w:highlight w:val="none"/>
        </w:rPr>
        <w:t>媒体。为确保上述信息的准确性，未经财政部、国家发展和改革委员会允许，不得转载。</w:t>
      </w:r>
    </w:p>
    <w:p>
      <w:pPr>
        <w:shd w:val="clear"/>
        <w:adjustRightInd w:val="0"/>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节能清单中的产品有效时间以国家节能产品认证证书有效截止日期为准，超过认证证书有效截止日期的自动失效。</w:t>
      </w:r>
    </w:p>
    <w:p>
      <w:pPr>
        <w:shd w:val="clear"/>
        <w:adjustRightInd w:val="0"/>
        <w:snapToGrid w:val="0"/>
        <w:spacing w:line="360" w:lineRule="auto"/>
        <w:ind w:firstLine="562" w:firstLineChars="200"/>
        <w:rPr>
          <w:rFonts w:hint="eastAsia" w:ascii="仿宋" w:hAnsi="仿宋" w:eastAsia="仿宋" w:cs="仿宋"/>
          <w:b/>
          <w:bCs/>
          <w:color w:val="auto"/>
          <w:sz w:val="28"/>
          <w:szCs w:val="28"/>
          <w:highlight w:val="none"/>
          <w:u w:val="single"/>
        </w:rPr>
      </w:pPr>
      <w:r>
        <w:rPr>
          <w:rFonts w:hint="eastAsia" w:ascii="仿宋" w:hAnsi="仿宋" w:eastAsia="仿宋" w:cs="仿宋"/>
          <w:b/>
          <w:bCs/>
          <w:color w:val="auto"/>
          <w:sz w:val="28"/>
          <w:szCs w:val="28"/>
          <w:highlight w:val="none"/>
          <w:u w:val="single"/>
        </w:rPr>
        <w:t>政府采购属于节能清单中产品时，在技术、服务等指标同等条件下，应当优先采购节能清单所列的节能产品。（供应商须自行提供证明材料）</w:t>
      </w:r>
    </w:p>
    <w:p>
      <w:pPr>
        <w:shd w:val="clear"/>
        <w:adjustRightInd w:val="0"/>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在政府采购活动中，采购人应当在政府采购采购文件中载明对产品的节能要求、合格产品的条件和节能产品优先采购的评审标准。</w:t>
      </w:r>
    </w:p>
    <w:p>
      <w:pPr>
        <w:shd w:val="clear"/>
        <w:adjustRightInd w:val="0"/>
        <w:snapToGrid w:val="0"/>
        <w:spacing w:line="360" w:lineRule="auto"/>
        <w:ind w:firstLine="562" w:firstLineChars="200"/>
        <w:jc w:val="center"/>
        <w:rPr>
          <w:rFonts w:hint="eastAsia" w:ascii="仿宋" w:hAnsi="仿宋" w:eastAsia="仿宋" w:cs="仿宋"/>
          <w:b/>
          <w:bCs/>
          <w:color w:val="auto"/>
          <w:sz w:val="28"/>
          <w:szCs w:val="28"/>
          <w:highlight w:val="none"/>
        </w:rPr>
      </w:pPr>
    </w:p>
    <w:p>
      <w:pPr>
        <w:shd w:val="clear"/>
        <w:adjustRightInd w:val="0"/>
        <w:snapToGrid w:val="0"/>
        <w:spacing w:line="360" w:lineRule="auto"/>
        <w:ind w:firstLine="562" w:firstLineChars="200"/>
        <w:jc w:val="center"/>
        <w:rPr>
          <w:rFonts w:hint="eastAsia" w:ascii="仿宋" w:hAnsi="仿宋" w:eastAsia="仿宋" w:cs="仿宋"/>
          <w:b/>
          <w:bCs/>
          <w:color w:val="auto"/>
          <w:sz w:val="28"/>
          <w:szCs w:val="28"/>
          <w:highlight w:val="none"/>
        </w:rPr>
      </w:pPr>
    </w:p>
    <w:p>
      <w:pPr>
        <w:shd w:val="clea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pPr>
        <w:shd w:val="clear"/>
        <w:adjustRightInd w:val="0"/>
        <w:snapToGrid w:val="0"/>
        <w:spacing w:line="360" w:lineRule="auto"/>
        <w:ind w:firstLine="562" w:firstLineChars="20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财政部《关于环境标志产品政府采购实施的意见》</w:t>
      </w:r>
    </w:p>
    <w:p>
      <w:pPr>
        <w:shd w:val="clear"/>
        <w:adjustRightInd w:val="0"/>
        <w:snapToGrid w:val="0"/>
        <w:spacing w:line="360" w:lineRule="auto"/>
        <w:ind w:firstLine="560" w:firstLineChars="20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财政部、国家环境保护总局综合考虑政府采购改革进展和环境标志产品技术及市场成熟等情况，从国家认可的环境标志产品认证机构认证的环境标志产品中，以"环境标志产品政府采购清单"（以下简称清单）的形式，按类别确定优先采购的范围。 </w:t>
      </w:r>
    </w:p>
    <w:p>
      <w:pPr>
        <w:shd w:val="clear"/>
        <w:adjustRightInd w:val="0"/>
        <w:snapToGrid w:val="0"/>
        <w:spacing w:line="360" w:lineRule="auto"/>
        <w:ind w:firstLine="560" w:firstLineChars="20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财政部、国家环境保护总局将适时调整清单，并以文件形式公布。 </w:t>
      </w:r>
    </w:p>
    <w:p>
      <w:pPr>
        <w:shd w:val="clear"/>
        <w:adjustRightInd w:val="0"/>
        <w:snapToGrid w:val="0"/>
        <w:spacing w:line="360" w:lineRule="auto"/>
        <w:ind w:firstLine="560" w:firstLineChars="20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中国政府采购网（http://www.ccgp.gov.cn/）、国家环境保护总局网（http://www.sepa.gov.cn/）、中国绿色采购网（http://www.cgpn.cn/）为清单的</w:t>
      </w:r>
      <w:r>
        <w:rPr>
          <w:rFonts w:hint="eastAsia" w:ascii="仿宋" w:hAnsi="仿宋" w:eastAsia="仿宋" w:cs="仿宋"/>
          <w:bCs/>
          <w:color w:val="auto"/>
          <w:sz w:val="28"/>
          <w:szCs w:val="28"/>
          <w:highlight w:val="none"/>
          <w:lang w:eastAsia="zh-CN"/>
        </w:rPr>
        <w:t>竞争性谈判公告</w:t>
      </w:r>
      <w:r>
        <w:rPr>
          <w:rFonts w:hint="eastAsia" w:ascii="仿宋" w:hAnsi="仿宋" w:eastAsia="仿宋" w:cs="仿宋"/>
          <w:bCs/>
          <w:color w:val="auto"/>
          <w:sz w:val="28"/>
          <w:szCs w:val="28"/>
          <w:highlight w:val="none"/>
        </w:rPr>
        <w:t xml:space="preserve">媒体。为确保上述信息的准确性，未经财政部、国家环境保护总局允许，不得转载。 </w:t>
      </w:r>
    </w:p>
    <w:p>
      <w:pPr>
        <w:shd w:val="clear"/>
        <w:adjustRightInd w:val="0"/>
        <w:snapToGrid w:val="0"/>
        <w:spacing w:line="360" w:lineRule="auto"/>
        <w:ind w:firstLine="560" w:firstLineChars="20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清单中的产品有效时间以中国环境标志产品认证证书有效截止日期为准，超过认证证书有效截止日期的自动失效。 </w:t>
      </w:r>
    </w:p>
    <w:p>
      <w:pPr>
        <w:shd w:val="clear"/>
        <w:adjustRightInd w:val="0"/>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采购人采购的产品属于清单中品目的，在性能、技术、服务等指标同等条件下，应当优先采购清单中的产品。（供应商须自行提供证明材料）</w:t>
      </w:r>
    </w:p>
    <w:p>
      <w:pPr>
        <w:shd w:val="clear"/>
        <w:adjustRightInd w:val="0"/>
        <w:snapToGrid w:val="0"/>
        <w:spacing w:line="360" w:lineRule="auto"/>
        <w:ind w:firstLine="560" w:firstLineChars="20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在政府采购活动中，采购人或其委托的采购代理机构应当在政府采购采购文件中载明对产品（含建材）的环保要求、合格供应商和产品的条件，以及优先采购的评审标准。</w:t>
      </w:r>
    </w:p>
    <w:p>
      <w:pPr>
        <w:keepNext/>
        <w:keepLines/>
        <w:widowControl w:val="0"/>
        <w:shd w:val="clear"/>
        <w:adjustRightInd w:val="0"/>
        <w:snapToGrid w:val="0"/>
        <w:spacing w:line="360" w:lineRule="auto"/>
        <w:jc w:val="center"/>
        <w:outlineLvl w:val="0"/>
        <w:rPr>
          <w:rFonts w:hint="eastAsia" w:ascii="仿宋" w:hAnsi="仿宋" w:eastAsia="仿宋" w:cs="仿宋"/>
          <w:b/>
          <w:bCs/>
          <w:color w:val="auto"/>
          <w:kern w:val="44"/>
          <w:sz w:val="28"/>
          <w:szCs w:val="28"/>
          <w:highlight w:val="none"/>
          <w:lang w:val="en-US" w:eastAsia="zh-CN" w:bidi="ar-SA"/>
        </w:rPr>
      </w:pPr>
      <w:r>
        <w:rPr>
          <w:rFonts w:hint="eastAsia" w:ascii="仿宋" w:hAnsi="仿宋" w:eastAsia="仿宋" w:cs="仿宋"/>
          <w:b/>
          <w:bCs/>
          <w:color w:val="auto"/>
          <w:kern w:val="44"/>
          <w:sz w:val="28"/>
          <w:szCs w:val="28"/>
          <w:highlight w:val="none"/>
          <w:lang w:val="en-US" w:eastAsia="zh-CN" w:bidi="ar-SA"/>
        </w:rPr>
        <w:br w:type="page"/>
      </w:r>
    </w:p>
    <w:p>
      <w:pPr>
        <w:pStyle w:val="7"/>
        <w:shd w:val="clear"/>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eastAsia="zh-CN"/>
        </w:rPr>
        <w:t>附件</w:t>
      </w:r>
      <w:r>
        <w:rPr>
          <w:rFonts w:hint="eastAsia" w:ascii="仿宋_GB2312" w:hAnsi="仿宋_GB2312" w:eastAsia="仿宋_GB2312" w:cs="仿宋_GB2312"/>
          <w:b w:val="0"/>
          <w:bCs w:val="0"/>
          <w:color w:val="auto"/>
          <w:sz w:val="32"/>
          <w:szCs w:val="32"/>
          <w:highlight w:val="none"/>
          <w:lang w:val="en-US" w:eastAsia="zh-CN"/>
        </w:rPr>
        <w:t>5：</w:t>
      </w:r>
    </w:p>
    <w:p>
      <w:pPr>
        <w:keepNext/>
        <w:keepLines/>
        <w:widowControl w:val="0"/>
        <w:shd w:val="clear"/>
        <w:spacing w:line="360" w:lineRule="auto"/>
        <w:jc w:val="center"/>
        <w:outlineLvl w:val="0"/>
        <w:rPr>
          <w:rFonts w:hint="eastAsia" w:ascii="方正小标宋简体" w:hAnsi="方正小标宋简体" w:eastAsia="方正小标宋简体" w:cs="方正小标宋简体"/>
          <w:b w:val="0"/>
          <w:bCs w:val="0"/>
          <w:color w:val="auto"/>
          <w:kern w:val="44"/>
          <w:sz w:val="44"/>
          <w:szCs w:val="44"/>
          <w:highlight w:val="none"/>
          <w:lang w:val="en-US" w:eastAsia="zh-CN" w:bidi="ar-SA"/>
        </w:rPr>
      </w:pPr>
      <w:r>
        <w:rPr>
          <w:rFonts w:hint="eastAsia" w:ascii="方正小标宋简体" w:hAnsi="方正小标宋简体" w:eastAsia="方正小标宋简体" w:cs="方正小标宋简体"/>
          <w:b w:val="0"/>
          <w:bCs w:val="0"/>
          <w:color w:val="auto"/>
          <w:kern w:val="44"/>
          <w:sz w:val="44"/>
          <w:szCs w:val="44"/>
          <w:highlight w:val="none"/>
          <w:lang w:val="en-US" w:eastAsia="zh-CN" w:bidi="ar-SA"/>
        </w:rPr>
        <w:t>供应商须知</w:t>
      </w:r>
    </w:p>
    <w:p>
      <w:pPr>
        <w:keepNext/>
        <w:keepLines/>
        <w:widowControl w:val="0"/>
        <w:shd w:val="clear"/>
        <w:adjustRightInd w:val="0"/>
        <w:snapToGrid w:val="0"/>
        <w:spacing w:line="360" w:lineRule="auto"/>
        <w:ind w:firstLine="562" w:firstLineChars="200"/>
        <w:jc w:val="center"/>
        <w:outlineLvl w:val="2"/>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一．总则</w:t>
      </w:r>
    </w:p>
    <w:p>
      <w:pPr>
        <w:shd w:val="clear"/>
        <w:adjustRightInd w:val="0"/>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1.适用范围</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1.1本采购文件仅适用于本次公开采购所述的</w:t>
      </w:r>
      <w:r>
        <w:rPr>
          <w:rFonts w:hint="eastAsia" w:ascii="仿宋" w:hAnsi="仿宋" w:eastAsia="仿宋" w:cs="仿宋"/>
          <w:color w:val="auto"/>
          <w:sz w:val="28"/>
          <w:szCs w:val="28"/>
          <w:highlight w:val="none"/>
          <w:lang w:val="en-US" w:eastAsia="zh-CN"/>
        </w:rPr>
        <w:t>服务</w:t>
      </w:r>
      <w:r>
        <w:rPr>
          <w:rFonts w:hint="eastAsia" w:ascii="仿宋" w:hAnsi="仿宋" w:eastAsia="仿宋" w:cs="仿宋"/>
          <w:color w:val="auto"/>
          <w:sz w:val="28"/>
          <w:szCs w:val="28"/>
          <w:highlight w:val="none"/>
        </w:rPr>
        <w:t>项目采购。</w:t>
      </w:r>
    </w:p>
    <w:p>
      <w:pPr>
        <w:numPr>
          <w:ilvl w:val="0"/>
          <w:numId w:val="1"/>
        </w:numPr>
        <w:shd w:val="clear"/>
        <w:adjustRightInd w:val="0"/>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有关定义</w:t>
      </w:r>
    </w:p>
    <w:p>
      <w:pPr>
        <w:pStyle w:val="7"/>
        <w:shd w:val="clear"/>
        <w:adjustRightInd w:val="0"/>
        <w:snapToGrid w:val="0"/>
        <w:spacing w:line="440" w:lineRule="exact"/>
        <w:ind w:firstLine="560" w:firstLineChars="200"/>
        <w:contextualSpacing/>
        <w:rPr>
          <w:rFonts w:hint="default" w:ascii="仿宋" w:hAnsi="仿宋" w:eastAsia="仿宋" w:cs="仿宋"/>
          <w:b w:val="0"/>
          <w:color w:val="auto"/>
          <w:sz w:val="28"/>
          <w:szCs w:val="28"/>
          <w:highlight w:val="none"/>
        </w:rPr>
      </w:pPr>
      <w:r>
        <w:rPr>
          <w:rFonts w:ascii="仿宋" w:hAnsi="仿宋" w:eastAsia="仿宋" w:cs="仿宋"/>
          <w:b w:val="0"/>
          <w:color w:val="auto"/>
          <w:sz w:val="28"/>
          <w:szCs w:val="28"/>
          <w:highlight w:val="none"/>
        </w:rPr>
        <w:t>2.1 服务：系指除货物和工程以外的其他政府采购对象，包括咨询、调研、评估、规划、设计、监理、审计、保险、租赁、印刷、维修、物业管理等。</w:t>
      </w:r>
    </w:p>
    <w:p>
      <w:pPr>
        <w:pStyle w:val="7"/>
        <w:shd w:val="clear"/>
        <w:adjustRightInd w:val="0"/>
        <w:snapToGrid w:val="0"/>
        <w:spacing w:line="440" w:lineRule="exact"/>
        <w:ind w:firstLine="560" w:firstLineChars="200"/>
        <w:contextualSpacing/>
        <w:jc w:val="left"/>
        <w:rPr>
          <w:rFonts w:hint="default" w:ascii="仿宋" w:hAnsi="仿宋" w:eastAsia="仿宋" w:cs="仿宋"/>
          <w:b w:val="0"/>
          <w:color w:val="auto"/>
          <w:sz w:val="28"/>
          <w:szCs w:val="28"/>
          <w:highlight w:val="none"/>
        </w:rPr>
      </w:pPr>
      <w:r>
        <w:rPr>
          <w:rFonts w:ascii="仿宋" w:hAnsi="仿宋" w:eastAsia="仿宋" w:cs="仿宋"/>
          <w:b w:val="0"/>
          <w:color w:val="auto"/>
          <w:sz w:val="28"/>
          <w:szCs w:val="28"/>
          <w:highlight w:val="none"/>
        </w:rPr>
        <w:t>2.2 时限（年份、月份等）计算：系指从</w:t>
      </w:r>
      <w:r>
        <w:rPr>
          <w:rFonts w:hint="eastAsia" w:ascii="仿宋" w:hAnsi="仿宋" w:eastAsia="仿宋" w:cs="仿宋"/>
          <w:b w:val="0"/>
          <w:color w:val="auto"/>
          <w:sz w:val="28"/>
          <w:szCs w:val="28"/>
          <w:highlight w:val="none"/>
          <w:lang w:val="en-US" w:eastAsia="zh-CN"/>
        </w:rPr>
        <w:t>开标</w:t>
      </w:r>
      <w:r>
        <w:rPr>
          <w:rFonts w:ascii="仿宋" w:hAnsi="仿宋" w:eastAsia="仿宋" w:cs="仿宋"/>
          <w:b w:val="0"/>
          <w:color w:val="auto"/>
          <w:sz w:val="28"/>
          <w:szCs w:val="28"/>
          <w:highlight w:val="none"/>
        </w:rPr>
        <w:t>之日向前追溯 X 年/月（“X”为“一”及以后整数）起算。</w:t>
      </w:r>
    </w:p>
    <w:p>
      <w:pPr>
        <w:pStyle w:val="7"/>
        <w:shd w:val="clear"/>
        <w:adjustRightInd w:val="0"/>
        <w:snapToGrid w:val="0"/>
        <w:spacing w:line="440" w:lineRule="exact"/>
        <w:ind w:firstLine="560" w:firstLineChars="200"/>
        <w:contextualSpacing/>
        <w:jc w:val="left"/>
        <w:rPr>
          <w:rFonts w:hint="default" w:ascii="仿宋" w:hAnsi="仿宋" w:eastAsia="仿宋" w:cs="仿宋"/>
          <w:b w:val="0"/>
          <w:color w:val="auto"/>
          <w:sz w:val="28"/>
          <w:szCs w:val="28"/>
          <w:highlight w:val="none"/>
        </w:rPr>
      </w:pPr>
      <w:r>
        <w:rPr>
          <w:rFonts w:ascii="仿宋" w:hAnsi="仿宋" w:eastAsia="仿宋" w:cs="仿宋"/>
          <w:b w:val="0"/>
          <w:color w:val="auto"/>
          <w:sz w:val="28"/>
          <w:szCs w:val="28"/>
          <w:highlight w:val="none"/>
        </w:rPr>
        <w:t>2.3 业绩：除非本</w:t>
      </w:r>
      <w:r>
        <w:rPr>
          <w:rFonts w:hint="eastAsia" w:ascii="仿宋" w:hAnsi="仿宋" w:eastAsia="仿宋" w:cs="仿宋"/>
          <w:b w:val="0"/>
          <w:color w:val="auto"/>
          <w:sz w:val="28"/>
          <w:szCs w:val="28"/>
          <w:highlight w:val="none"/>
          <w:lang w:val="en-US" w:eastAsia="zh-CN"/>
        </w:rPr>
        <w:t>竞争性</w:t>
      </w:r>
      <w:r>
        <w:rPr>
          <w:rFonts w:ascii="仿宋" w:hAnsi="仿宋" w:eastAsia="仿宋" w:cs="仿宋"/>
          <w:b w:val="0"/>
          <w:color w:val="auto"/>
          <w:sz w:val="28"/>
          <w:szCs w:val="28"/>
          <w:highlight w:val="none"/>
        </w:rPr>
        <w:t>文件中另有规定，业绩系指符合本</w:t>
      </w:r>
      <w:r>
        <w:rPr>
          <w:rFonts w:hint="eastAsia" w:ascii="仿宋" w:hAnsi="仿宋" w:eastAsia="仿宋" w:cs="仿宋"/>
          <w:b w:val="0"/>
          <w:color w:val="auto"/>
          <w:sz w:val="28"/>
          <w:szCs w:val="28"/>
          <w:highlight w:val="none"/>
          <w:lang w:val="en-US" w:eastAsia="zh-CN"/>
        </w:rPr>
        <w:t>竞争性</w:t>
      </w:r>
      <w:r>
        <w:rPr>
          <w:rFonts w:ascii="仿宋" w:hAnsi="仿宋" w:eastAsia="仿宋" w:cs="仿宋"/>
          <w:b w:val="0"/>
          <w:color w:val="auto"/>
          <w:sz w:val="28"/>
          <w:szCs w:val="28"/>
          <w:highlight w:val="none"/>
        </w:rPr>
        <w:t>文件规定的与最终用户签订的合同。供应商与其关联公司（如母公司、控股公司、分公司、子公司、同一法定代表人的公司等）之间签订的合同，均不予认可。</w:t>
      </w:r>
    </w:p>
    <w:p>
      <w:pPr>
        <w:pStyle w:val="7"/>
        <w:shd w:val="clear"/>
        <w:adjustRightInd w:val="0"/>
        <w:snapToGrid w:val="0"/>
        <w:spacing w:line="440" w:lineRule="exact"/>
        <w:ind w:firstLine="560" w:firstLineChars="200"/>
        <w:contextualSpacing/>
        <w:jc w:val="left"/>
        <w:rPr>
          <w:rFonts w:ascii="仿宋" w:hAnsi="仿宋" w:eastAsia="仿宋" w:cs="仿宋"/>
          <w:b w:val="0"/>
          <w:color w:val="auto"/>
          <w:sz w:val="28"/>
          <w:szCs w:val="28"/>
          <w:highlight w:val="none"/>
        </w:rPr>
      </w:pPr>
      <w:r>
        <w:rPr>
          <w:rFonts w:ascii="仿宋" w:hAnsi="仿宋" w:eastAsia="仿宋" w:cs="仿宋"/>
          <w:b w:val="0"/>
          <w:color w:val="auto"/>
          <w:sz w:val="28"/>
          <w:szCs w:val="28"/>
          <w:highlight w:val="none"/>
        </w:rPr>
        <w:t>除非本</w:t>
      </w:r>
      <w:r>
        <w:rPr>
          <w:rFonts w:hint="eastAsia" w:ascii="仿宋" w:hAnsi="仿宋" w:eastAsia="仿宋" w:cs="仿宋"/>
          <w:b w:val="0"/>
          <w:color w:val="auto"/>
          <w:sz w:val="28"/>
          <w:szCs w:val="28"/>
          <w:highlight w:val="none"/>
          <w:lang w:val="en-US" w:eastAsia="zh-CN"/>
        </w:rPr>
        <w:t>竞争性</w:t>
      </w:r>
      <w:r>
        <w:rPr>
          <w:rFonts w:ascii="仿宋" w:hAnsi="仿宋" w:eastAsia="仿宋" w:cs="仿宋"/>
          <w:b w:val="0"/>
          <w:color w:val="auto"/>
          <w:sz w:val="28"/>
          <w:szCs w:val="28"/>
          <w:highlight w:val="none"/>
        </w:rPr>
        <w:t>文件中另有规定，否则业绩均为已服务完毕的业绩，业绩时间均以合同签订之日为追溯节点。</w:t>
      </w:r>
    </w:p>
    <w:p>
      <w:pPr>
        <w:shd w:val="clear"/>
        <w:rPr>
          <w:rFonts w:hint="default"/>
          <w:color w:val="auto"/>
          <w:highlight w:val="none"/>
        </w:rPr>
      </w:pPr>
    </w:p>
    <w:p>
      <w:pPr>
        <w:numPr>
          <w:ilvl w:val="0"/>
          <w:numId w:val="1"/>
        </w:numPr>
        <w:shd w:val="clear"/>
        <w:adjustRightInd w:val="0"/>
        <w:snapToGrid w:val="0"/>
        <w:spacing w:line="360" w:lineRule="auto"/>
        <w:ind w:firstLine="562" w:firstLineChars="200"/>
        <w:rPr>
          <w:rFonts w:hint="default" w:ascii="仿宋" w:hAnsi="仿宋" w:eastAsia="仿宋" w:cs="仿宋"/>
          <w:b w:val="0"/>
          <w:color w:val="auto"/>
          <w:sz w:val="28"/>
          <w:szCs w:val="28"/>
          <w:highlight w:val="none"/>
        </w:rPr>
      </w:pPr>
      <w:r>
        <w:rPr>
          <w:rFonts w:hint="eastAsia" w:ascii="仿宋" w:hAnsi="仿宋" w:eastAsia="仿宋" w:cs="仿宋"/>
          <w:b/>
          <w:color w:val="auto"/>
          <w:sz w:val="28"/>
          <w:szCs w:val="28"/>
          <w:highlight w:val="none"/>
        </w:rPr>
        <w:t xml:space="preserve"> 采购人、采购代理机构及供应商</w:t>
      </w:r>
    </w:p>
    <w:p>
      <w:pPr>
        <w:numPr>
          <w:ilvl w:val="1"/>
          <w:numId w:val="1"/>
        </w:numPr>
        <w:shd w:val="clear"/>
        <w:adjustRightInd w:val="0"/>
        <w:snapToGrid w:val="0"/>
        <w:spacing w:line="360" w:lineRule="auto"/>
        <w:ind w:firstLine="560" w:firstLineChars="200"/>
        <w:rPr>
          <w:rFonts w:ascii="仿宋" w:hAnsi="仿宋" w:eastAsia="仿宋" w:cs="仿宋"/>
          <w:b w:val="0"/>
          <w:color w:val="auto"/>
          <w:sz w:val="28"/>
          <w:szCs w:val="28"/>
          <w:highlight w:val="none"/>
        </w:rPr>
      </w:pPr>
      <w:r>
        <w:rPr>
          <w:rFonts w:ascii="仿宋" w:hAnsi="仿宋" w:eastAsia="仿宋" w:cs="仿宋"/>
          <w:b w:val="0"/>
          <w:color w:val="auto"/>
          <w:sz w:val="28"/>
          <w:szCs w:val="28"/>
          <w:highlight w:val="none"/>
        </w:rPr>
        <w:t>采购人：是指依法开展政府采购活动的国家机关、事业单位、团体组织。</w:t>
      </w:r>
    </w:p>
    <w:p>
      <w:pPr>
        <w:numPr>
          <w:ilvl w:val="0"/>
          <w:numId w:val="0"/>
        </w:numPr>
        <w:shd w:val="clear"/>
        <w:adjustRightInd w:val="0"/>
        <w:snapToGrid w:val="0"/>
        <w:spacing w:line="360" w:lineRule="auto"/>
        <w:ind w:firstLine="560" w:firstLineChars="200"/>
        <w:rPr>
          <w:rFonts w:ascii="仿宋" w:hAnsi="仿宋" w:eastAsia="仿宋" w:cs="仿宋"/>
          <w:b w:val="0"/>
          <w:color w:val="auto"/>
          <w:sz w:val="28"/>
          <w:szCs w:val="28"/>
          <w:highlight w:val="none"/>
        </w:rPr>
      </w:pPr>
      <w:r>
        <w:rPr>
          <w:rFonts w:ascii="仿宋" w:hAnsi="仿宋" w:eastAsia="仿宋" w:cs="仿宋"/>
          <w:b w:val="0"/>
          <w:color w:val="auto"/>
          <w:sz w:val="28"/>
          <w:szCs w:val="28"/>
          <w:highlight w:val="none"/>
        </w:rPr>
        <w:t>3.2采购代理机构：是指集中采购机构或从事采购代理业务的社会中介机构。</w:t>
      </w:r>
    </w:p>
    <w:p>
      <w:pPr>
        <w:numPr>
          <w:ilvl w:val="0"/>
          <w:numId w:val="0"/>
        </w:numPr>
        <w:shd w:val="clear"/>
        <w:adjustRightInd w:val="0"/>
        <w:snapToGrid w:val="0"/>
        <w:spacing w:line="360" w:lineRule="auto"/>
        <w:ind w:firstLine="560" w:firstLineChars="200"/>
        <w:rPr>
          <w:rFonts w:ascii="仿宋" w:hAnsi="仿宋" w:eastAsia="仿宋" w:cs="仿宋"/>
          <w:b w:val="0"/>
          <w:color w:val="auto"/>
          <w:sz w:val="28"/>
          <w:szCs w:val="28"/>
          <w:highlight w:val="none"/>
        </w:rPr>
      </w:pPr>
      <w:r>
        <w:rPr>
          <w:rFonts w:ascii="仿宋" w:hAnsi="仿宋" w:eastAsia="仿宋" w:cs="仿宋"/>
          <w:b w:val="0"/>
          <w:color w:val="auto"/>
          <w:sz w:val="28"/>
          <w:szCs w:val="28"/>
          <w:highlight w:val="none"/>
        </w:rPr>
        <w:t>3.3 政府采购监督管理部门：各级人民政府指定的有关部门依法履行与政府采购活动有关的监督管理职责。本项目的政府采购监督管理部门为淮南市公共资源交易监督管理局、淮南市财政局。</w:t>
      </w:r>
    </w:p>
    <w:p>
      <w:pPr>
        <w:numPr>
          <w:ilvl w:val="0"/>
          <w:numId w:val="0"/>
        </w:numPr>
        <w:shd w:val="clear"/>
        <w:adjustRightInd w:val="0"/>
        <w:snapToGrid w:val="0"/>
        <w:spacing w:line="360" w:lineRule="auto"/>
        <w:ind w:firstLine="560" w:firstLineChars="200"/>
        <w:rPr>
          <w:rFonts w:ascii="仿宋" w:hAnsi="仿宋" w:eastAsia="仿宋" w:cs="仿宋"/>
          <w:b w:val="0"/>
          <w:color w:val="auto"/>
          <w:sz w:val="28"/>
          <w:szCs w:val="28"/>
          <w:highlight w:val="none"/>
        </w:rPr>
      </w:pPr>
      <w:r>
        <w:rPr>
          <w:rFonts w:ascii="仿宋" w:hAnsi="仿宋" w:eastAsia="仿宋" w:cs="仿宋"/>
          <w:b w:val="0"/>
          <w:color w:val="auto"/>
          <w:sz w:val="28"/>
          <w:szCs w:val="28"/>
          <w:highlight w:val="none"/>
        </w:rPr>
        <w:t>3.4 供应商：是指向采购人提供货物、工程或者服务的法人、非法人组织或者自然人。分支机构不得参加政府采购活动，但银行、保险、石油石化、电力、电信等特殊行业除外。本项目的供应商须满足以下条件：</w:t>
      </w:r>
    </w:p>
    <w:p>
      <w:pPr>
        <w:numPr>
          <w:ilvl w:val="0"/>
          <w:numId w:val="0"/>
        </w:numPr>
        <w:shd w:val="clear"/>
        <w:adjustRightInd w:val="0"/>
        <w:snapToGrid w:val="0"/>
        <w:spacing w:line="360" w:lineRule="auto"/>
        <w:ind w:firstLine="560" w:firstLineChars="200"/>
        <w:rPr>
          <w:rFonts w:hint="default" w:ascii="仿宋" w:hAnsi="仿宋" w:eastAsia="仿宋" w:cs="仿宋"/>
          <w:b w:val="0"/>
          <w:color w:val="auto"/>
          <w:sz w:val="28"/>
          <w:szCs w:val="28"/>
          <w:highlight w:val="none"/>
        </w:rPr>
      </w:pPr>
      <w:r>
        <w:rPr>
          <w:rFonts w:ascii="仿宋" w:hAnsi="仿宋" w:eastAsia="仿宋" w:cs="仿宋"/>
          <w:b w:val="0"/>
          <w:color w:val="auto"/>
          <w:sz w:val="28"/>
          <w:szCs w:val="28"/>
          <w:highlight w:val="none"/>
        </w:rPr>
        <w:t>3.4.1 在中华人民共和国境内注册，能够独立承担民事责任，有生产或供应能力的本国供应商。</w:t>
      </w:r>
    </w:p>
    <w:p>
      <w:pPr>
        <w:pStyle w:val="7"/>
        <w:shd w:val="clear"/>
        <w:adjustRightInd w:val="0"/>
        <w:snapToGrid w:val="0"/>
        <w:spacing w:line="440" w:lineRule="exact"/>
        <w:ind w:firstLine="560" w:firstLineChars="200"/>
        <w:contextualSpacing/>
        <w:rPr>
          <w:rFonts w:hint="default"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lang w:val="en-US" w:eastAsia="zh-CN"/>
        </w:rPr>
        <w:t xml:space="preserve">  </w:t>
      </w:r>
      <w:r>
        <w:rPr>
          <w:rFonts w:ascii="仿宋" w:hAnsi="仿宋" w:eastAsia="仿宋" w:cs="仿宋"/>
          <w:b w:val="0"/>
          <w:color w:val="auto"/>
          <w:sz w:val="28"/>
          <w:szCs w:val="28"/>
          <w:highlight w:val="none"/>
        </w:rPr>
        <w:t>3.4.2 具备《中华人民共和国政府采购法》第二十二条关于供应商条件的规定，遵守本项目采购人本级和上级财政部门政府采购的有关规定。</w:t>
      </w:r>
    </w:p>
    <w:p>
      <w:pPr>
        <w:pStyle w:val="7"/>
        <w:shd w:val="clear"/>
        <w:adjustRightInd w:val="0"/>
        <w:snapToGrid w:val="0"/>
        <w:spacing w:line="440" w:lineRule="exact"/>
        <w:ind w:firstLine="840" w:firstLineChars="300"/>
        <w:contextualSpacing/>
        <w:jc w:val="both"/>
        <w:rPr>
          <w:rFonts w:hint="default" w:ascii="仿宋" w:hAnsi="仿宋" w:eastAsia="仿宋" w:cs="仿宋"/>
          <w:b w:val="0"/>
          <w:color w:val="auto"/>
          <w:sz w:val="28"/>
          <w:szCs w:val="28"/>
          <w:highlight w:val="none"/>
        </w:rPr>
      </w:pPr>
      <w:r>
        <w:rPr>
          <w:rFonts w:ascii="仿宋" w:hAnsi="仿宋" w:eastAsia="仿宋" w:cs="仿宋"/>
          <w:b w:val="0"/>
          <w:color w:val="auto"/>
          <w:sz w:val="28"/>
          <w:szCs w:val="28"/>
          <w:highlight w:val="none"/>
        </w:rPr>
        <w:t>3.4.3 以采购代理机构认可的方式获得了本项目的磋商文件。</w:t>
      </w:r>
    </w:p>
    <w:p>
      <w:pPr>
        <w:pStyle w:val="7"/>
        <w:shd w:val="clear"/>
        <w:adjustRightInd w:val="0"/>
        <w:snapToGrid w:val="0"/>
        <w:spacing w:line="440" w:lineRule="exact"/>
        <w:ind w:firstLine="560" w:firstLineChars="200"/>
        <w:contextualSpacing/>
        <w:jc w:val="left"/>
        <w:rPr>
          <w:rFonts w:hint="default"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lang w:val="en-US" w:eastAsia="zh-CN"/>
        </w:rPr>
        <w:t xml:space="preserve">  </w:t>
      </w:r>
      <w:r>
        <w:rPr>
          <w:rFonts w:ascii="仿宋" w:hAnsi="仿宋" w:eastAsia="仿宋" w:cs="仿宋"/>
          <w:b w:val="0"/>
          <w:color w:val="auto"/>
          <w:sz w:val="28"/>
          <w:szCs w:val="28"/>
          <w:highlight w:val="none"/>
        </w:rPr>
        <w:t>3.4.4 若供应商须知前附表中写明专门面向中小企业采购的，如供应商为非中小企业，其响应文件将被认定为 响应无效。</w:t>
      </w:r>
    </w:p>
    <w:p>
      <w:pPr>
        <w:shd w:val="clear"/>
        <w:adjustRightInd w:val="0"/>
        <w:snapToGrid w:val="0"/>
        <w:spacing w:line="360" w:lineRule="auto"/>
        <w:ind w:firstLine="420" w:firstLineChars="200"/>
        <w:rPr>
          <w:rFonts w:hint="eastAsia" w:ascii="仿宋" w:hAnsi="仿宋" w:eastAsia="仿宋" w:cs="仿宋"/>
          <w:color w:val="auto"/>
          <w:sz w:val="28"/>
          <w:szCs w:val="28"/>
          <w:highlight w:val="none"/>
        </w:rPr>
      </w:pPr>
      <w:r>
        <w:rPr>
          <w:rFonts w:hint="eastAsia" w:eastAsia="宋体"/>
          <w:color w:val="auto"/>
          <w:highlight w:val="none"/>
          <w:lang w:val="en-US" w:eastAsia="zh-CN"/>
        </w:rPr>
        <w:t xml:space="preserve"> </w:t>
      </w:r>
    </w:p>
    <w:p>
      <w:pPr>
        <w:shd w:val="clear"/>
        <w:adjustRightInd w:val="0"/>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4</w:t>
      </w:r>
      <w:r>
        <w:rPr>
          <w:rFonts w:hint="eastAsia" w:ascii="仿宋" w:hAnsi="仿宋" w:eastAsia="仿宋" w:cs="仿宋"/>
          <w:b/>
          <w:color w:val="auto"/>
          <w:sz w:val="28"/>
          <w:szCs w:val="28"/>
          <w:highlight w:val="none"/>
        </w:rPr>
        <w:t>.投标费用</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.1无论投标结果如何，供应商应自行承担其编制与递交响应文件所涉及的一切费用，成交供应商须承担本项目评标过程中发生的评审费用。 成交供应商同时需要据实支付本项目专家推荐费、专家评审费等相关费用。</w:t>
      </w:r>
    </w:p>
    <w:p>
      <w:pPr>
        <w:shd w:val="clear"/>
        <w:adjustRightInd w:val="0"/>
        <w:snapToGrid w:val="0"/>
        <w:spacing w:line="36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5</w:t>
      </w:r>
      <w:r>
        <w:rPr>
          <w:rFonts w:hint="eastAsia" w:ascii="仿宋" w:hAnsi="仿宋" w:eastAsia="仿宋" w:cs="仿宋"/>
          <w:b/>
          <w:bCs/>
          <w:color w:val="auto"/>
          <w:sz w:val="28"/>
          <w:szCs w:val="28"/>
          <w:highlight w:val="none"/>
        </w:rPr>
        <w:t>.合格的供应商</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.1合格的供应商应符合竞争性谈判文件载明的投标资格。</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.2供应商之间如果存在下列情形之一的，不得同时参加同一标段（包别）或者不分标段（包别）的同一项目投标：</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.2.1法定代表人为同一个人的两个及两个以上法人；</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.2.2母公司、全资子公司及其控股公司；</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.2.3参加投标的其他组织之间存在特殊的利害关系的；</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.2.4法律和行政法规规定的其他情形。</w:t>
      </w:r>
    </w:p>
    <w:p>
      <w:pPr>
        <w:shd w:val="clear"/>
        <w:adjustRightInd w:val="0"/>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6</w:t>
      </w:r>
      <w:r>
        <w:rPr>
          <w:rFonts w:hint="eastAsia" w:ascii="仿宋" w:hAnsi="仿宋" w:eastAsia="仿宋" w:cs="仿宋"/>
          <w:b/>
          <w:color w:val="auto"/>
          <w:sz w:val="28"/>
          <w:szCs w:val="28"/>
          <w:highlight w:val="none"/>
        </w:rPr>
        <w:t>.勘察现场</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.1供应商应自行对供货现场和周围环境进行勘察，以获取编制响应文件和签署合同所需的资料。勘察现场的方式、地址及联系方式见供应商须知前附表。</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2勘察现场所发生的费用由供应商自行承担。采购人向供应商提供的有关供货现场的资料和数据，是采购人现有的能使供应商利用的资料。采购人对供应商由此而做出的推论、理解和结论概不负责。供应商未到供货现场实地踏勘的，中标后签订合同时和履约过程中，不得以不完全了解现场情况为由，提出任何形式的增加合同价款或索赔的要求。</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.3除非有特殊要求，竞争性谈判文件不单独提供供货使用地的自然环境、气候条件、公用设施等情况，供应商被视为熟悉上述与履行合同有关的一切情况。</w:t>
      </w:r>
    </w:p>
    <w:p>
      <w:pPr>
        <w:shd w:val="clear"/>
        <w:adjustRightInd w:val="0"/>
        <w:snapToGrid w:val="0"/>
        <w:spacing w:line="360" w:lineRule="auto"/>
        <w:ind w:firstLine="562" w:firstLineChars="200"/>
        <w:rPr>
          <w:rFonts w:hint="eastAsia" w:ascii="仿宋" w:hAnsi="仿宋" w:eastAsia="仿宋" w:cs="仿宋"/>
          <w:bCs/>
          <w:color w:val="auto"/>
          <w:sz w:val="28"/>
          <w:szCs w:val="28"/>
          <w:highlight w:val="none"/>
        </w:rPr>
      </w:pPr>
      <w:r>
        <w:rPr>
          <w:rFonts w:hint="eastAsia" w:ascii="仿宋" w:hAnsi="仿宋" w:eastAsia="仿宋" w:cs="仿宋"/>
          <w:b/>
          <w:color w:val="auto"/>
          <w:sz w:val="28"/>
          <w:szCs w:val="28"/>
          <w:highlight w:val="none"/>
          <w:lang w:val="en-US" w:eastAsia="zh-CN"/>
        </w:rPr>
        <w:t>7</w:t>
      </w:r>
      <w:r>
        <w:rPr>
          <w:rFonts w:hint="eastAsia" w:ascii="仿宋" w:hAnsi="仿宋" w:eastAsia="仿宋" w:cs="仿宋"/>
          <w:b/>
          <w:color w:val="auto"/>
          <w:sz w:val="28"/>
          <w:szCs w:val="28"/>
          <w:highlight w:val="none"/>
        </w:rPr>
        <w:t>.知识产权</w:t>
      </w:r>
    </w:p>
    <w:p>
      <w:pPr>
        <w:shd w:val="clear"/>
        <w:adjustRightInd w:val="0"/>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.1</w:t>
      </w:r>
      <w:r>
        <w:rPr>
          <w:rFonts w:hint="eastAsia" w:ascii="仿宋" w:hAnsi="仿宋" w:eastAsia="仿宋" w:cs="仿宋"/>
          <w:bCs/>
          <w:color w:val="auto"/>
          <w:sz w:val="28"/>
          <w:szCs w:val="28"/>
          <w:highlight w:val="none"/>
        </w:rPr>
        <w:t>供应商须保证，采购人在中华人民共和国境内使用投标货物、资料、技术、服务或其任何一部分时，享有不受限制的无偿使用权，不会产生因第三方提出侵犯其专利权、商标权或其它知识产权而引起的法律或经济纠纷。如供应商不拥有相应的知识产权，则在投标报价中必须包括合法获取该知识产权的一切相关费用。</w:t>
      </w:r>
      <w:r>
        <w:rPr>
          <w:rFonts w:hint="eastAsia" w:ascii="仿宋" w:hAnsi="仿宋" w:eastAsia="仿宋" w:cs="仿宋"/>
          <w:color w:val="auto"/>
          <w:sz w:val="28"/>
          <w:szCs w:val="28"/>
          <w:highlight w:val="none"/>
        </w:rPr>
        <w:t>如因此导致采购人损失的，供应商须承担全部赔偿责任。</w:t>
      </w:r>
    </w:p>
    <w:p>
      <w:pPr>
        <w:shd w:val="clear"/>
        <w:adjustRightInd w:val="0"/>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7</w:t>
      </w:r>
      <w:r>
        <w:rPr>
          <w:rFonts w:hint="eastAsia" w:ascii="仿宋" w:hAnsi="仿宋" w:eastAsia="仿宋" w:cs="仿宋"/>
          <w:bCs/>
          <w:color w:val="auto"/>
          <w:sz w:val="28"/>
          <w:szCs w:val="28"/>
          <w:highlight w:val="none"/>
        </w:rPr>
        <w:t>.2供应商如欲在项目实施过程中采用自有知识成果，须在响应文件中声明，并提供相关知识产权证明文件。使用该知识成果后，供应商须提供开发接口和开发手册等技术文档。</w:t>
      </w:r>
    </w:p>
    <w:p>
      <w:pPr>
        <w:shd w:val="clear"/>
        <w:adjustRightInd w:val="0"/>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8</w:t>
      </w:r>
      <w:r>
        <w:rPr>
          <w:rFonts w:hint="eastAsia" w:ascii="仿宋" w:hAnsi="仿宋" w:eastAsia="仿宋" w:cs="仿宋"/>
          <w:b/>
          <w:color w:val="auto"/>
          <w:sz w:val="28"/>
          <w:szCs w:val="28"/>
          <w:highlight w:val="none"/>
        </w:rPr>
        <w:t>.纪律与保密</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.1供应商的投标行为应遵守中国的有关法律、法规和规章。</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.2供应商不得相互串通投标报价，不得妨碍其他供应商的公平竞争，不得损害采购人或其他供应商的合法权益，供应商不得以向采购人、谈判小组成员行贿或者采取其他不正当手段谋取中标。</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.2.1有下列情形之一的，属于供应商相互串通投标：</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.2.1.1供应商之间协商投标报价等响应文件的实质性内容；</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.2.1.2供应商之间约定成交供应商；</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.2.1.3供应商之间约定部分供应商放弃投标或者中标；</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.2.1.4属于同一集团、协会、商会等组织成员的供应商按照该组织要求协同投标；</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.2.1.5供应商之间为谋取中标或者排斥特定供应商而采取的其他联合行动。</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.2.2 有下列情形之一的，视为供应商相互串通投标：</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.2.2.1不同供应商的响应文件由同一单位或者个人编制；</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.2.2.2不同供应商委托同一单位或者个人办理投标事宜；</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.2.2.3不同供应商的响应文件载明的项目管理成员为同一人；</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.2.2.4不同供应商的响应文件异常一致或者投标报价呈规律性差异；</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.2.2.5不同供应商的响应文件相互混装；</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.2.2.6不同供应商的投标保证金从同一单位或者个人的账户转出。</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.3在确定成交供应商之前，供应商不得与采购人就投标价格、投标方案等实质性内容进行谈判，也不得私下接触谈判小组成员。</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.4在确定成交供应商之前，供应商试图在响应文件审查、澄清、比较和评价时对谈判小组施加任何影响都可能导致其投标无效。</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.5由采购人向供应商提供的图纸、详细资料、样品、模型、模件和所有其它资料，被视为保密资料，仅被用于它所规定的用途。除非得到采购人的同意，不能向任何第三方透露。</w:t>
      </w:r>
    </w:p>
    <w:p>
      <w:pPr>
        <w:shd w:val="clear"/>
        <w:adjustRightInd w:val="0"/>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9</w:t>
      </w:r>
      <w:r>
        <w:rPr>
          <w:rFonts w:hint="eastAsia" w:ascii="仿宋" w:hAnsi="仿宋" w:eastAsia="仿宋" w:cs="仿宋"/>
          <w:b/>
          <w:color w:val="auto"/>
          <w:sz w:val="28"/>
          <w:szCs w:val="28"/>
          <w:highlight w:val="none"/>
        </w:rPr>
        <w:t>.联合体投标（本项目不采用）</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.1除非本项目明确要求不接受联合体形式投标外，两个或两个以上供应商可以组成一个联合体投标，以一个供应商的身份投标。</w:t>
      </w:r>
    </w:p>
    <w:p>
      <w:pPr>
        <w:shd w:val="clear"/>
        <w:adjustRightInd w:val="0"/>
        <w:snapToGrid w:val="0"/>
        <w:spacing w:line="360" w:lineRule="auto"/>
        <w:ind w:firstLine="560" w:firstLineChars="200"/>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.2以联合体形式参加投标的，联合体各方均应当符合《政府采购法》第二十二条第一款规定的条件，根据采购项目的特殊要求规定供应商特定条件的，联合体各方中至少应当有一方符合。</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lang w:val="en-US" w:eastAsia="zh-CN"/>
        </w:rPr>
        <w:t>9</w:t>
      </w:r>
      <w:r>
        <w:rPr>
          <w:rFonts w:hint="eastAsia" w:ascii="仿宋" w:hAnsi="仿宋" w:eastAsia="仿宋" w:cs="仿宋"/>
          <w:bCs/>
          <w:color w:val="auto"/>
          <w:sz w:val="28"/>
          <w:szCs w:val="28"/>
          <w:highlight w:val="none"/>
        </w:rPr>
        <w:t>.3</w:t>
      </w:r>
      <w:r>
        <w:rPr>
          <w:rFonts w:hint="eastAsia" w:ascii="仿宋" w:hAnsi="仿宋" w:eastAsia="仿宋" w:cs="仿宋"/>
          <w:color w:val="auto"/>
          <w:sz w:val="28"/>
          <w:szCs w:val="28"/>
          <w:highlight w:val="none"/>
        </w:rPr>
        <w:t>联合体各方之间应当签订联合体协议，明确约定联合体各方应当承担的工作和相应的责任，并将联合体协议连同响应文件一并提交采购人。由同一专业的单位组成的联合体，按照同一资质等级较低的单位确定资质等级。联合体各方签订联合体协议后，不得再以自己的名义单独在同一项目中投标，也不得组成新的联合体参加同一项目投标。</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.4联合体投标的，可以由联合体中的一方或者共同提交投标保证金，以一方名义提交保证金的，对联合体各方均具有约束力。</w:t>
      </w:r>
    </w:p>
    <w:p>
      <w:pPr>
        <w:shd w:val="clear"/>
        <w:adjustRightInd w:val="0"/>
        <w:snapToGrid w:val="0"/>
        <w:spacing w:line="36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10</w:t>
      </w:r>
      <w:r>
        <w:rPr>
          <w:rFonts w:hint="eastAsia" w:ascii="仿宋" w:hAnsi="仿宋" w:eastAsia="仿宋" w:cs="仿宋"/>
          <w:b/>
          <w:bCs/>
          <w:color w:val="auto"/>
          <w:sz w:val="28"/>
          <w:szCs w:val="28"/>
          <w:highlight w:val="none"/>
        </w:rPr>
        <w:t>.投标品牌</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1竞争性谈判文件中提供的参考商标、品牌或标准（包括工艺、材料、设备、样本目录号码、标准等），是采购人为了方便供应商更准确、更清楚说明拟采购货物的技术规格和标准，并无限制性。供应商在投标中若选用替代商标、品牌或标准，应优于或相当于参考商标、品牌或标准。</w:t>
      </w:r>
    </w:p>
    <w:p>
      <w:pPr>
        <w:shd w:val="clear"/>
        <w:adjustRightInd w:val="0"/>
        <w:snapToGrid w:val="0"/>
        <w:spacing w:line="36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w:t>
      </w: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rPr>
        <w:t>.合同标的转让</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 xml:space="preserve">.1合同未约定或者未经采购人同意，成交供应商不得向他人转让中标项目，也不得将中标项目肢解后分别向他人转让。 </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2合同约定或者经采购人同意，成交供应商可以将中标项目的部分非主体、非关键性工作分包给他人完成。接受分包的人应当具备相应的资格条件，并不得再次分包。如果本项目允许分包，采购人根据采购项目的实际情况，拟在中标后将中标项目的非主体、非关键性工作交由他人完成的，应在响应文件中载明。</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.3成交供应商应当就分包项目向采购人负责，接受分包的人就分包项目承担连带责任。</w:t>
      </w:r>
    </w:p>
    <w:p>
      <w:pPr>
        <w:keepNext/>
        <w:keepLines/>
        <w:widowControl w:val="0"/>
        <w:shd w:val="clear"/>
        <w:adjustRightInd w:val="0"/>
        <w:snapToGrid w:val="0"/>
        <w:spacing w:line="360" w:lineRule="auto"/>
        <w:ind w:firstLine="562" w:firstLineChars="200"/>
        <w:jc w:val="center"/>
        <w:outlineLvl w:val="2"/>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二．竞争性谈判文件</w:t>
      </w:r>
    </w:p>
    <w:p>
      <w:pPr>
        <w:shd w:val="clear"/>
        <w:adjustRightInd w:val="0"/>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w:t>
      </w:r>
      <w:r>
        <w:rPr>
          <w:rFonts w:hint="eastAsia" w:ascii="仿宋" w:hAnsi="仿宋" w:eastAsia="仿宋" w:cs="仿宋"/>
          <w:b/>
          <w:color w:val="auto"/>
          <w:sz w:val="28"/>
          <w:szCs w:val="28"/>
          <w:highlight w:val="none"/>
          <w:lang w:val="en-US" w:eastAsia="zh-CN"/>
        </w:rPr>
        <w:t>2</w:t>
      </w:r>
      <w:r>
        <w:rPr>
          <w:rFonts w:hint="eastAsia" w:ascii="仿宋" w:hAnsi="仿宋" w:eastAsia="仿宋" w:cs="仿宋"/>
          <w:b/>
          <w:color w:val="auto"/>
          <w:sz w:val="28"/>
          <w:szCs w:val="28"/>
          <w:highlight w:val="none"/>
        </w:rPr>
        <w:t>.竞争性谈判文件构成</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.1竞争性谈判文件包括以下部分：</w:t>
      </w:r>
    </w:p>
    <w:p>
      <w:pPr>
        <w:shd w:val="clear"/>
        <w:adjustRightInd w:val="0"/>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.1.1第一章：</w:t>
      </w:r>
      <w:r>
        <w:rPr>
          <w:rFonts w:hint="eastAsia" w:ascii="仿宋" w:hAnsi="仿宋" w:eastAsia="仿宋" w:cs="仿宋"/>
          <w:bCs/>
          <w:color w:val="auto"/>
          <w:sz w:val="28"/>
          <w:szCs w:val="28"/>
          <w:highlight w:val="none"/>
          <w:lang w:eastAsia="zh-CN"/>
        </w:rPr>
        <w:t>竞争性谈判公告</w:t>
      </w:r>
      <w:r>
        <w:rPr>
          <w:rFonts w:hint="eastAsia" w:ascii="仿宋" w:hAnsi="仿宋" w:eastAsia="仿宋" w:cs="仿宋"/>
          <w:bCs/>
          <w:color w:val="auto"/>
          <w:sz w:val="28"/>
          <w:szCs w:val="28"/>
          <w:highlight w:val="none"/>
        </w:rPr>
        <w:t>；</w:t>
      </w:r>
    </w:p>
    <w:p>
      <w:pPr>
        <w:shd w:val="clear"/>
        <w:adjustRightInd w:val="0"/>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.1.2第二章：</w:t>
      </w:r>
      <w:r>
        <w:rPr>
          <w:rFonts w:hint="eastAsia" w:ascii="仿宋" w:hAnsi="仿宋" w:eastAsia="仿宋" w:cs="仿宋"/>
          <w:bCs/>
          <w:color w:val="auto"/>
          <w:sz w:val="28"/>
          <w:szCs w:val="28"/>
          <w:highlight w:val="none"/>
        </w:rPr>
        <w:t>供应商须知前附表；</w:t>
      </w:r>
    </w:p>
    <w:p>
      <w:pPr>
        <w:shd w:val="clear"/>
        <w:adjustRightInd w:val="0"/>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.1.3第三章：</w:t>
      </w:r>
      <w:r>
        <w:rPr>
          <w:rFonts w:hint="eastAsia" w:ascii="仿宋" w:hAnsi="仿宋" w:eastAsia="仿宋" w:cs="仿宋"/>
          <w:bCs/>
          <w:color w:val="auto"/>
          <w:sz w:val="28"/>
          <w:szCs w:val="28"/>
          <w:highlight w:val="none"/>
        </w:rPr>
        <w:t>采购需求；</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.1.4第四章：</w:t>
      </w:r>
      <w:r>
        <w:rPr>
          <w:rFonts w:hint="eastAsia" w:ascii="仿宋" w:hAnsi="仿宋" w:eastAsia="仿宋" w:cs="仿宋"/>
          <w:bCs/>
          <w:color w:val="auto"/>
          <w:sz w:val="28"/>
          <w:szCs w:val="28"/>
          <w:highlight w:val="none"/>
        </w:rPr>
        <w:t>评标办法；</w:t>
      </w:r>
    </w:p>
    <w:p>
      <w:pPr>
        <w:shd w:val="clear"/>
        <w:adjustRightInd w:val="0"/>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.1.5第五章：</w:t>
      </w:r>
      <w:r>
        <w:rPr>
          <w:rFonts w:hint="eastAsia" w:ascii="仿宋" w:hAnsi="仿宋" w:eastAsia="仿宋" w:cs="仿宋"/>
          <w:bCs/>
          <w:color w:val="auto"/>
          <w:sz w:val="28"/>
          <w:szCs w:val="28"/>
          <w:highlight w:val="none"/>
        </w:rPr>
        <w:t>供应商须知；</w:t>
      </w:r>
    </w:p>
    <w:p>
      <w:pPr>
        <w:shd w:val="clear"/>
        <w:adjustRightInd w:val="0"/>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.1.6第六章：合同主要条款</w:t>
      </w:r>
      <w:r>
        <w:rPr>
          <w:rFonts w:hint="eastAsia" w:ascii="仿宋" w:hAnsi="仿宋" w:eastAsia="仿宋" w:cs="仿宋"/>
          <w:bCs/>
          <w:color w:val="auto"/>
          <w:sz w:val="28"/>
          <w:szCs w:val="28"/>
          <w:highlight w:val="none"/>
        </w:rPr>
        <w:t>；</w:t>
      </w:r>
    </w:p>
    <w:p>
      <w:pPr>
        <w:shd w:val="clear"/>
        <w:adjustRightInd w:val="0"/>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.1.7第七章：</w:t>
      </w:r>
      <w:r>
        <w:rPr>
          <w:rFonts w:hint="eastAsia" w:ascii="仿宋" w:hAnsi="仿宋" w:eastAsia="仿宋" w:cs="仿宋"/>
          <w:bCs/>
          <w:color w:val="auto"/>
          <w:sz w:val="28"/>
          <w:szCs w:val="28"/>
          <w:highlight w:val="none"/>
        </w:rPr>
        <w:t>响应文件格式；</w:t>
      </w:r>
    </w:p>
    <w:p>
      <w:pPr>
        <w:shd w:val="clear"/>
        <w:adjustRightInd w:val="0"/>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w:t>
      </w:r>
      <w:r>
        <w:rPr>
          <w:rFonts w:hint="eastAsia" w:ascii="仿宋" w:hAnsi="仿宋" w:eastAsia="仿宋" w:cs="仿宋"/>
          <w:bCs/>
          <w:color w:val="auto"/>
          <w:sz w:val="28"/>
          <w:szCs w:val="28"/>
          <w:highlight w:val="none"/>
          <w:lang w:val="en-US" w:eastAsia="zh-CN"/>
        </w:rPr>
        <w:t>2</w:t>
      </w:r>
      <w:r>
        <w:rPr>
          <w:rFonts w:hint="eastAsia" w:ascii="仿宋" w:hAnsi="仿宋" w:eastAsia="仿宋" w:cs="仿宋"/>
          <w:bCs/>
          <w:color w:val="auto"/>
          <w:sz w:val="28"/>
          <w:szCs w:val="28"/>
          <w:highlight w:val="none"/>
        </w:rPr>
        <w:t>.1.8第八章：二轮报价即最终报价表</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1</w:t>
      </w:r>
      <w:r>
        <w:rPr>
          <w:rFonts w:hint="eastAsia" w:ascii="仿宋" w:hAnsi="仿宋" w:eastAsia="仿宋" w:cs="仿宋"/>
          <w:bCs/>
          <w:color w:val="auto"/>
          <w:sz w:val="28"/>
          <w:szCs w:val="28"/>
          <w:highlight w:val="none"/>
          <w:lang w:val="en-US" w:eastAsia="zh-CN"/>
        </w:rPr>
        <w:t>2</w:t>
      </w:r>
      <w:r>
        <w:rPr>
          <w:rFonts w:hint="eastAsia" w:ascii="仿宋" w:hAnsi="仿宋" w:eastAsia="仿宋" w:cs="仿宋"/>
          <w:bCs/>
          <w:color w:val="auto"/>
          <w:sz w:val="28"/>
          <w:szCs w:val="28"/>
          <w:highlight w:val="none"/>
        </w:rPr>
        <w:t>.1.9采购人发布</w:t>
      </w:r>
      <w:r>
        <w:rPr>
          <w:rFonts w:hint="eastAsia" w:ascii="仿宋" w:hAnsi="仿宋" w:eastAsia="仿宋" w:cs="仿宋"/>
          <w:color w:val="auto"/>
          <w:sz w:val="28"/>
          <w:szCs w:val="28"/>
          <w:highlight w:val="none"/>
        </w:rPr>
        <w:t>的答疑、补遗、补充通知等。</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.2 供应商应认真阅读竞争性谈判文件中所有的事项、格式、条件、条款和规范等要求。</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.3供应商应当按照竞争性谈判文件的要求编制响应文件。响应文件应对竞争性谈判文件提出的要求和条件作出实质性响应。</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.4供应商获取竞争性谈判文件后，应仔细检查竞争性谈判文件的所有内容，如有残缺等问题应在获得竞争性谈判文件3日内向采购人或采购代理机构提出，否则，由此引起的损失由供应商自行承担。</w:t>
      </w:r>
    </w:p>
    <w:p>
      <w:pPr>
        <w:shd w:val="clear"/>
        <w:adjustRightInd w:val="0"/>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w:t>
      </w:r>
      <w:r>
        <w:rPr>
          <w:rFonts w:hint="eastAsia" w:ascii="仿宋" w:hAnsi="仿宋" w:eastAsia="仿宋" w:cs="仿宋"/>
          <w:b/>
          <w:color w:val="auto"/>
          <w:sz w:val="28"/>
          <w:szCs w:val="28"/>
          <w:highlight w:val="none"/>
          <w:lang w:val="en-US" w:eastAsia="zh-CN"/>
        </w:rPr>
        <w:t>3</w:t>
      </w:r>
      <w:r>
        <w:rPr>
          <w:rFonts w:hint="eastAsia" w:ascii="仿宋" w:hAnsi="仿宋" w:eastAsia="仿宋" w:cs="仿宋"/>
          <w:b/>
          <w:color w:val="auto"/>
          <w:sz w:val="28"/>
          <w:szCs w:val="28"/>
          <w:highlight w:val="none"/>
        </w:rPr>
        <w:t>.答疑及竞争性谈判文件的澄清与修改</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.1供应商如果对竞争性谈判文件、工程量清单、控制价等竞争性谈判文件的其他任何内容有相关疑问，可以于供应商须知前附表列明的答疑接受时间前，以书面形式向采购人和采购代理机构提出。</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.2采购代理机构对竞争性谈判文件进行的澄清、更正或更改，将书面形式及时发布，该</w:t>
      </w:r>
      <w:r>
        <w:rPr>
          <w:rFonts w:hint="eastAsia" w:ascii="仿宋" w:hAnsi="仿宋" w:eastAsia="仿宋" w:cs="仿宋"/>
          <w:color w:val="auto"/>
          <w:sz w:val="28"/>
          <w:szCs w:val="28"/>
          <w:highlight w:val="none"/>
          <w:lang w:eastAsia="zh-CN"/>
        </w:rPr>
        <w:t>竞争性谈判公告</w:t>
      </w:r>
      <w:r>
        <w:rPr>
          <w:rFonts w:hint="eastAsia" w:ascii="仿宋" w:hAnsi="仿宋" w:eastAsia="仿宋" w:cs="仿宋"/>
          <w:color w:val="auto"/>
          <w:sz w:val="28"/>
          <w:szCs w:val="28"/>
          <w:highlight w:val="none"/>
        </w:rPr>
        <w:t>内容为竞争性谈判文件的组成部分，对供应商具有同样约束力效力。</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.3在投标截止时间前，采购人和采购代理机构可以视采购具体情况，延长投标截止时间和开标时间，并在竞争性谈判文件要求提交响应文件的截止时间三日前，变更</w:t>
      </w:r>
      <w:r>
        <w:rPr>
          <w:rFonts w:hint="eastAsia" w:ascii="仿宋" w:hAnsi="仿宋" w:eastAsia="仿宋" w:cs="仿宋"/>
          <w:color w:val="auto"/>
          <w:sz w:val="28"/>
          <w:szCs w:val="28"/>
          <w:highlight w:val="none"/>
          <w:lang w:eastAsia="zh-CN"/>
        </w:rPr>
        <w:t>竞争性谈判公告</w:t>
      </w:r>
      <w:r>
        <w:rPr>
          <w:rFonts w:hint="eastAsia" w:ascii="仿宋" w:hAnsi="仿宋" w:eastAsia="仿宋" w:cs="仿宋"/>
          <w:color w:val="auto"/>
          <w:sz w:val="28"/>
          <w:szCs w:val="28"/>
          <w:highlight w:val="none"/>
        </w:rPr>
        <w:t>。在上述情况下，采购人和供应商在投标截止期方面的全部权力、责任和义务，将适用于延长后新的投标截止期。</w:t>
      </w:r>
    </w:p>
    <w:p>
      <w:pPr>
        <w:keepNext/>
        <w:keepLines/>
        <w:widowControl w:val="0"/>
        <w:shd w:val="clear"/>
        <w:adjustRightInd w:val="0"/>
        <w:snapToGrid w:val="0"/>
        <w:spacing w:line="360" w:lineRule="auto"/>
        <w:ind w:firstLine="562" w:firstLineChars="200"/>
        <w:jc w:val="center"/>
        <w:outlineLvl w:val="2"/>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三．响应文件的编制</w:t>
      </w:r>
    </w:p>
    <w:p>
      <w:pPr>
        <w:shd w:val="clear"/>
        <w:adjustRightInd w:val="0"/>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w:t>
      </w:r>
      <w:r>
        <w:rPr>
          <w:rFonts w:hint="eastAsia" w:ascii="仿宋" w:hAnsi="仿宋" w:eastAsia="仿宋" w:cs="仿宋"/>
          <w:b/>
          <w:color w:val="auto"/>
          <w:sz w:val="28"/>
          <w:szCs w:val="28"/>
          <w:highlight w:val="none"/>
          <w:lang w:val="en-US" w:eastAsia="zh-CN"/>
        </w:rPr>
        <w:t>4</w:t>
      </w:r>
      <w:r>
        <w:rPr>
          <w:rFonts w:hint="eastAsia" w:ascii="仿宋" w:hAnsi="仿宋" w:eastAsia="仿宋" w:cs="仿宋"/>
          <w:b/>
          <w:color w:val="auto"/>
          <w:sz w:val="28"/>
          <w:szCs w:val="28"/>
          <w:highlight w:val="none"/>
        </w:rPr>
        <w:t>.响应文件构成与格式</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.1响应文件是对竞争性谈判文件的实质性响应及承诺文件。</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.2</w:t>
      </w:r>
      <w:r>
        <w:rPr>
          <w:rFonts w:hint="eastAsia" w:ascii="仿宋" w:hAnsi="仿宋" w:eastAsia="仿宋" w:cs="仿宋"/>
          <w:bCs/>
          <w:color w:val="auto"/>
          <w:sz w:val="28"/>
          <w:szCs w:val="28"/>
          <w:highlight w:val="none"/>
        </w:rPr>
        <w:t>除非注明“供应商可自行制作格式”，响应文件应使用竞争性谈判文件提供的格式。</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1</w:t>
      </w:r>
      <w:r>
        <w:rPr>
          <w:rFonts w:hint="eastAsia" w:ascii="仿宋" w:hAnsi="仿宋" w:eastAsia="仿宋" w:cs="仿宋"/>
          <w:bCs/>
          <w:color w:val="auto"/>
          <w:sz w:val="28"/>
          <w:szCs w:val="28"/>
          <w:highlight w:val="none"/>
          <w:lang w:val="en-US" w:eastAsia="zh-CN"/>
        </w:rPr>
        <w:t>4</w:t>
      </w:r>
      <w:r>
        <w:rPr>
          <w:rFonts w:hint="eastAsia" w:ascii="仿宋" w:hAnsi="仿宋" w:eastAsia="仿宋" w:cs="仿宋"/>
          <w:bCs/>
          <w:color w:val="auto"/>
          <w:sz w:val="28"/>
          <w:szCs w:val="28"/>
          <w:highlight w:val="none"/>
        </w:rPr>
        <w:t>.3除专用术语外，响应文件以及供应商与采购人就有关投标的往来函电均应使用中文。供应商提交的支持性文件和印制的文件可以用另一种语言，但相应内容应翻译成中文，对不同文字文本响应文件的解释发生异议的，以中文文本为准。</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.4除非竞争性谈判文件另有规定，响应文件应使用中华人民共和国法定计量单位。</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.5除非竞争性谈判文件另有规定，响应文件应使用人民币填报所有报价。允许以多种货币报价的，或涉及合同金额等计算的，均按照中国银行在开标日公布的汇率中间价换算成人民币。</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.6供应商资质证书（或资格证明）处于换证、升级、变更等期间，除非法律法规或发证机构有书面材料明确表明供应商资质（或资格)有效，否则一律不予认可。</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.7</w:t>
      </w:r>
      <w:r>
        <w:rPr>
          <w:rFonts w:hint="eastAsia" w:ascii="仿宋" w:hAnsi="仿宋" w:eastAsia="仿宋" w:cs="仿宋"/>
          <w:b/>
          <w:bCs/>
          <w:color w:val="auto"/>
          <w:sz w:val="28"/>
          <w:szCs w:val="28"/>
          <w:highlight w:val="none"/>
        </w:rPr>
        <w:t>纸质响应文件（如有）</w:t>
      </w:r>
      <w:r>
        <w:rPr>
          <w:rFonts w:hint="eastAsia" w:ascii="仿宋" w:hAnsi="仿宋" w:eastAsia="仿宋" w:cs="仿宋"/>
          <w:color w:val="auto"/>
          <w:sz w:val="28"/>
          <w:szCs w:val="28"/>
          <w:highlight w:val="none"/>
        </w:rPr>
        <w:t>应编制连续页码，除特殊规格的图纸或方案、图片资料等外，均应按A4规格制作，为节约和环保，建议纸质响应文件双面打印。</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.8电报、电话、传真形式的投标概不接受。</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.9采购人一律不予退还供应商的响应文件。</w:t>
      </w:r>
    </w:p>
    <w:p>
      <w:pPr>
        <w:shd w:val="clea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1</w:t>
      </w:r>
      <w:r>
        <w:rPr>
          <w:rFonts w:hint="eastAsia" w:ascii="仿宋" w:hAnsi="仿宋" w:eastAsia="仿宋" w:cs="仿宋"/>
          <w:b/>
          <w:color w:val="auto"/>
          <w:sz w:val="28"/>
          <w:szCs w:val="28"/>
          <w:highlight w:val="none"/>
          <w:lang w:val="en-US" w:eastAsia="zh-CN"/>
        </w:rPr>
        <w:t>5</w:t>
      </w:r>
      <w:r>
        <w:rPr>
          <w:rFonts w:hint="eastAsia" w:ascii="仿宋" w:hAnsi="仿宋" w:eastAsia="仿宋" w:cs="仿宋"/>
          <w:b/>
          <w:color w:val="auto"/>
          <w:sz w:val="28"/>
          <w:szCs w:val="28"/>
          <w:highlight w:val="none"/>
        </w:rPr>
        <w:t>.报价</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.1供应商应以“包”为报价的基本单位。若整个需求分为若干包，则供应商可选择其中的部分或所有包报价。包内所有项目均应报价（免费赠送的除外），否则将导致投标无效。</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2供应商的报价应包含所投货物、保险、税费、包装、加工及加工损耗、运输、现场落地、安装及安装损耗、调试、鉴定验收和交付后约定期限内免费维保等工作所发生的一切应有费用。投标报价为签订合同的依据。</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.3供应商应在响应文件中注明拟提供货物的单价明细和总价。</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.4除非竞争性谈判文件另有规定，每一包只允许有一个最终报价，任何有选择的报价或替代方案将导致投标无效。</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.5采购人不建议供应商采用总价优惠或以总价百分比优惠的方式进行投标报价，其优惠可直接计算并体现在各项投标报价的单价中。</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.6除政策性文件规定以外，供应商所报价格在合同实施期间不因市场变化因素而变动。</w:t>
      </w:r>
    </w:p>
    <w:p>
      <w:pPr>
        <w:shd w:val="clear"/>
        <w:adjustRightInd w:val="0"/>
        <w:snapToGrid w:val="0"/>
        <w:spacing w:line="36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w:t>
      </w:r>
      <w:r>
        <w:rPr>
          <w:rFonts w:hint="eastAsia" w:ascii="仿宋" w:hAnsi="仿宋" w:eastAsia="仿宋" w:cs="仿宋"/>
          <w:b/>
          <w:bCs/>
          <w:color w:val="auto"/>
          <w:sz w:val="28"/>
          <w:szCs w:val="28"/>
          <w:highlight w:val="none"/>
          <w:lang w:val="en-US" w:eastAsia="zh-CN"/>
        </w:rPr>
        <w:t>6</w:t>
      </w:r>
      <w:r>
        <w:rPr>
          <w:rFonts w:hint="eastAsia" w:ascii="仿宋" w:hAnsi="仿宋" w:eastAsia="仿宋" w:cs="仿宋"/>
          <w:b/>
          <w:bCs/>
          <w:color w:val="auto"/>
          <w:sz w:val="28"/>
          <w:szCs w:val="28"/>
          <w:highlight w:val="none"/>
        </w:rPr>
        <w:t>.投标内容填写及说明</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1响应文件须对竞争性谈判文件载明的投标资格、技术、资信、服务、报价等全部要求和条件做出实质性和完整的响应，如果响应文件填报的内容资料不详，或没有提供竞争性谈判文件中所要求的全部资料、证明及数据，将导致投标无效。</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.2供应商应在响应文件中提交竞争性谈判文件要求的有关证明文件（扫描或影印件上传），作为其响应文件的一部分。</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.3供应商应在响应文件中提交（以扫描件或影印件上传）竞争性谈判文件要求的所有货物的合格性以及符合竞争性谈判文件规定的证明文件（可以是手册、图纸和资料）等，并作为其响应文件的一部分。包括：</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.3.1货物主要性能（内容）的详细描述；</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.3.2保证所投货物正常、安全、连续运行期间所需的所有备品、备件及专用工具的详细清单。</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.4响应文件应编排有序、内容齐全、不得任意涂改或增删。如有错漏处必须修改，应在修改处加盖供应商公章。</w:t>
      </w:r>
    </w:p>
    <w:p>
      <w:pPr>
        <w:shd w:val="clear"/>
        <w:adjustRightInd w:val="0"/>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w:t>
      </w:r>
      <w:r>
        <w:rPr>
          <w:rFonts w:hint="eastAsia" w:ascii="仿宋" w:hAnsi="仿宋" w:eastAsia="仿宋" w:cs="仿宋"/>
          <w:b/>
          <w:color w:val="auto"/>
          <w:sz w:val="28"/>
          <w:szCs w:val="28"/>
          <w:highlight w:val="none"/>
          <w:lang w:val="en-US" w:eastAsia="zh-CN"/>
        </w:rPr>
        <w:t>7</w:t>
      </w:r>
      <w:r>
        <w:rPr>
          <w:rFonts w:hint="eastAsia" w:ascii="仿宋" w:hAnsi="仿宋" w:eastAsia="仿宋" w:cs="仿宋"/>
          <w:b/>
          <w:color w:val="auto"/>
          <w:sz w:val="28"/>
          <w:szCs w:val="28"/>
          <w:highlight w:val="none"/>
        </w:rPr>
        <w:t>.投标保证金</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.1投标前，供应商应按照供应商须知前附表规定金额的投标保证金，作为投标的一部分，投标保证金应当在投标截止时间前足额到达</w:t>
      </w:r>
      <w:r>
        <w:rPr>
          <w:rFonts w:hint="eastAsia" w:ascii="仿宋" w:hAnsi="仿宋" w:eastAsia="仿宋" w:cs="仿宋"/>
          <w:color w:val="auto"/>
          <w:sz w:val="28"/>
          <w:szCs w:val="28"/>
          <w:highlight w:val="none"/>
          <w:lang w:eastAsia="zh-CN"/>
        </w:rPr>
        <w:t>竞争性谈判公告</w:t>
      </w:r>
      <w:r>
        <w:rPr>
          <w:rFonts w:hint="eastAsia" w:ascii="仿宋" w:hAnsi="仿宋" w:eastAsia="仿宋" w:cs="仿宋"/>
          <w:color w:val="auto"/>
          <w:sz w:val="28"/>
          <w:szCs w:val="28"/>
          <w:highlight w:val="none"/>
        </w:rPr>
        <w:t>指定账号。</w:t>
      </w:r>
    </w:p>
    <w:p>
      <w:pPr>
        <w:shd w:val="clear"/>
        <w:adjustRightInd w:val="0"/>
        <w:snapToGrid w:val="0"/>
        <w:spacing w:line="360" w:lineRule="auto"/>
        <w:ind w:firstLine="560" w:firstLineChars="200"/>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.2采购人不接收以现金或汇票形式递交的投标保证金；投标保证金缴纳人名称与供应商名称应当一致。</w:t>
      </w:r>
      <w:r>
        <w:rPr>
          <w:rFonts w:hint="eastAsia" w:ascii="仿宋" w:hAnsi="仿宋" w:eastAsia="仿宋" w:cs="仿宋"/>
          <w:b/>
          <w:bCs/>
          <w:color w:val="auto"/>
          <w:sz w:val="28"/>
          <w:szCs w:val="28"/>
          <w:highlight w:val="none"/>
        </w:rPr>
        <w:t>分公司或子公司代缴投标保证金，视同供应商名称不一致。投标保证金缴纳人名称与供应商名称不一致的，投标无效。</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.3未按要求提交投标保证金的投标，将被视为非响应性投标而导致投标无效。</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.4</w:t>
      </w:r>
      <w:r>
        <w:rPr>
          <w:rFonts w:hint="eastAsia" w:ascii="仿宋" w:hAnsi="仿宋" w:eastAsia="仿宋" w:cs="仿宋"/>
          <w:b/>
          <w:color w:val="auto"/>
          <w:sz w:val="28"/>
          <w:szCs w:val="28"/>
          <w:highlight w:val="none"/>
        </w:rPr>
        <w:t>自中标通知书发出之日起5个工作日内退还未成交供应商的投标保证金，自政府采购合同签订之日起的5个工作日内退还成交供应商的投标保证金。</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投标保证金只退还至供应商账户。</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.5下列任何情况发生时，投标保证金将不予退还：</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.5.1供应商在投标有效期内撤回其投标；</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.5.2成交供应商在规定期限内未能：</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①根据规定签订合同；</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②根据规定提供履约保证金。</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.5.3经政府采购监督管理部门依法认定的其他违反招投标法律、法规和规章的行为。</w:t>
      </w:r>
    </w:p>
    <w:p>
      <w:pPr>
        <w:shd w:val="clear"/>
        <w:adjustRightInd w:val="0"/>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w:t>
      </w:r>
      <w:r>
        <w:rPr>
          <w:rFonts w:hint="eastAsia" w:ascii="仿宋" w:hAnsi="仿宋" w:eastAsia="仿宋" w:cs="仿宋"/>
          <w:b/>
          <w:color w:val="auto"/>
          <w:sz w:val="28"/>
          <w:szCs w:val="28"/>
          <w:highlight w:val="none"/>
          <w:lang w:val="en-US" w:eastAsia="zh-CN"/>
        </w:rPr>
        <w:t>8</w:t>
      </w:r>
      <w:r>
        <w:rPr>
          <w:rFonts w:hint="eastAsia" w:ascii="仿宋" w:hAnsi="仿宋" w:eastAsia="仿宋" w:cs="仿宋"/>
          <w:b/>
          <w:color w:val="auto"/>
          <w:sz w:val="28"/>
          <w:szCs w:val="28"/>
          <w:highlight w:val="none"/>
        </w:rPr>
        <w:t>.投标有效期</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.1为保证采购人有足够的时间完成评标和与成交供应商签订合同，规定投标有效期。投标有效期期限见供应商须知前附表。</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.2在投标有效期内，供应商的投标保持有效，供应商不得要求撤销或修改其响应文件。</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.3投标有效期从投标截止日起计算。</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4在原定投标有效期满之前，如果出现特殊情况，采购人和代理机构可以书面形式提出延长投标有效期的要求。供应商以书面形式予以答复，供应商可以拒绝这种要求而不被没收投标保证金。同意延长投标有效期的供应商不允许修改其响应文件的实质性内容，且需要相应地延长投标保证金的有效期。</w:t>
      </w:r>
    </w:p>
    <w:p>
      <w:pPr>
        <w:keepNext/>
        <w:keepLines/>
        <w:widowControl w:val="0"/>
        <w:shd w:val="clear"/>
        <w:adjustRightInd w:val="0"/>
        <w:snapToGrid w:val="0"/>
        <w:spacing w:line="360" w:lineRule="auto"/>
        <w:ind w:firstLine="562" w:firstLineChars="200"/>
        <w:jc w:val="center"/>
        <w:outlineLvl w:val="2"/>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四．响应文件的递交（执行竞争性谈判文件相关要求）</w:t>
      </w:r>
    </w:p>
    <w:p>
      <w:pPr>
        <w:keepNext/>
        <w:keepLines/>
        <w:widowControl w:val="0"/>
        <w:shd w:val="clear"/>
        <w:adjustRightInd w:val="0"/>
        <w:snapToGrid w:val="0"/>
        <w:spacing w:line="360" w:lineRule="auto"/>
        <w:ind w:firstLine="562" w:firstLineChars="200"/>
        <w:jc w:val="center"/>
        <w:outlineLvl w:val="2"/>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五．开标与评标</w:t>
      </w:r>
    </w:p>
    <w:p>
      <w:pPr>
        <w:shd w:val="clear"/>
        <w:adjustRightInd w:val="0"/>
        <w:snapToGrid w:val="0"/>
        <w:spacing w:line="36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w:t>
      </w:r>
      <w:r>
        <w:rPr>
          <w:rFonts w:hint="eastAsia" w:ascii="仿宋" w:hAnsi="仿宋" w:eastAsia="仿宋" w:cs="仿宋"/>
          <w:b/>
          <w:bCs/>
          <w:color w:val="auto"/>
          <w:sz w:val="28"/>
          <w:szCs w:val="28"/>
          <w:highlight w:val="none"/>
          <w:lang w:val="en-US" w:eastAsia="zh-CN"/>
        </w:rPr>
        <w:t>9</w:t>
      </w:r>
      <w:r>
        <w:rPr>
          <w:rFonts w:hint="eastAsia" w:ascii="仿宋" w:hAnsi="仿宋" w:eastAsia="仿宋" w:cs="仿宋"/>
          <w:b/>
          <w:bCs/>
          <w:color w:val="auto"/>
          <w:sz w:val="28"/>
          <w:szCs w:val="28"/>
          <w:highlight w:val="none"/>
        </w:rPr>
        <w:t>、开标</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.1采购人按规定的时间、地点举行开标会议</w:t>
      </w:r>
    </w:p>
    <w:p>
      <w:pPr>
        <w:shd w:val="clear"/>
        <w:adjustRightInd w:val="0"/>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.2采购人将邀请所有供应商参加开标会议，</w:t>
      </w:r>
      <w:r>
        <w:rPr>
          <w:rFonts w:hint="eastAsia" w:ascii="仿宋" w:hAnsi="仿宋" w:eastAsia="仿宋" w:cs="仿宋"/>
          <w:bCs/>
          <w:color w:val="auto"/>
          <w:sz w:val="28"/>
          <w:szCs w:val="28"/>
          <w:highlight w:val="none"/>
        </w:rPr>
        <w:t>供应商的法定代表人或其委托代理人应准时参加开标会议。</w:t>
      </w:r>
    </w:p>
    <w:p>
      <w:pPr>
        <w:shd w:val="clear"/>
        <w:adjustRightInd w:val="0"/>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w:t>
      </w:r>
      <w:r>
        <w:rPr>
          <w:rFonts w:hint="eastAsia" w:ascii="仿宋" w:hAnsi="仿宋" w:eastAsia="仿宋" w:cs="仿宋"/>
          <w:bCs/>
          <w:color w:val="auto"/>
          <w:sz w:val="28"/>
          <w:szCs w:val="28"/>
          <w:highlight w:val="none"/>
          <w:lang w:val="en-US" w:eastAsia="zh-CN"/>
        </w:rPr>
        <w:t>9</w:t>
      </w:r>
      <w:r>
        <w:rPr>
          <w:rFonts w:hint="eastAsia" w:ascii="仿宋" w:hAnsi="仿宋" w:eastAsia="仿宋" w:cs="仿宋"/>
          <w:bCs/>
          <w:color w:val="auto"/>
          <w:sz w:val="28"/>
          <w:szCs w:val="28"/>
          <w:highlight w:val="none"/>
        </w:rPr>
        <w:t>.3唱标结束后，所有响应文件均提交竞争性谈判小组评审。</w:t>
      </w:r>
    </w:p>
    <w:p>
      <w:pPr>
        <w:shd w:val="clear"/>
        <w:adjustRightInd w:val="0"/>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20</w:t>
      </w:r>
      <w:r>
        <w:rPr>
          <w:rFonts w:hint="eastAsia" w:ascii="仿宋" w:hAnsi="仿宋" w:eastAsia="仿宋" w:cs="仿宋"/>
          <w:b/>
          <w:color w:val="auto"/>
          <w:sz w:val="28"/>
          <w:szCs w:val="28"/>
          <w:highlight w:val="none"/>
        </w:rPr>
        <w:t>.响应文件的澄清、说明或补正</w:t>
      </w:r>
    </w:p>
    <w:p>
      <w:pPr>
        <w:shd w:val="clear"/>
        <w:adjustRightInd w:val="0"/>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20</w:t>
      </w:r>
      <w:r>
        <w:rPr>
          <w:rFonts w:hint="eastAsia" w:ascii="仿宋" w:hAnsi="仿宋" w:eastAsia="仿宋" w:cs="仿宋"/>
          <w:bCs/>
          <w:color w:val="auto"/>
          <w:sz w:val="28"/>
          <w:szCs w:val="28"/>
          <w:highlight w:val="none"/>
        </w:rPr>
        <w:t>.1为有助于投标的审查、评价和比较，竞争性谈判小组可以书面方式要求供应商对响应文件中含义不明确、对同类问题表述不一致或者有明显文字和计算错误的内容作必要的澄清、说明或补正。澄清、说明或补正不得超出响应文件的范围或改变响应文件的实质性内容。</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20</w:t>
      </w:r>
      <w:r>
        <w:rPr>
          <w:rFonts w:hint="eastAsia" w:ascii="仿宋" w:hAnsi="仿宋" w:eastAsia="仿宋" w:cs="仿宋"/>
          <w:color w:val="auto"/>
          <w:sz w:val="28"/>
          <w:szCs w:val="28"/>
          <w:highlight w:val="none"/>
        </w:rPr>
        <w:t>.2响应文件中大写金额和小写金额不一致的，以大写金额为准；总价金额与按单价汇总金额不一致的，以单价金额计算结果为准；单价金额小数点有明显错位的，应以总价为准，并修改单价。</w:t>
      </w:r>
    </w:p>
    <w:p>
      <w:pPr>
        <w:shd w:val="clear"/>
        <w:adjustRightInd w:val="0"/>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lang w:val="en-US" w:eastAsia="zh-CN"/>
        </w:rPr>
        <w:t>20</w:t>
      </w:r>
      <w:r>
        <w:rPr>
          <w:rFonts w:hint="eastAsia" w:ascii="仿宋" w:hAnsi="仿宋" w:eastAsia="仿宋" w:cs="仿宋"/>
          <w:color w:val="auto"/>
          <w:sz w:val="28"/>
          <w:szCs w:val="28"/>
          <w:highlight w:val="none"/>
        </w:rPr>
        <w:t>.3</w:t>
      </w:r>
      <w:r>
        <w:rPr>
          <w:rFonts w:hint="eastAsia" w:ascii="仿宋" w:hAnsi="仿宋" w:eastAsia="仿宋" w:cs="仿宋"/>
          <w:bCs/>
          <w:color w:val="auto"/>
          <w:sz w:val="28"/>
          <w:szCs w:val="28"/>
          <w:highlight w:val="none"/>
        </w:rPr>
        <w:t>开标一览表内容与响应文件中明细表内容不一致的，以开标一览表为准。</w:t>
      </w:r>
    </w:p>
    <w:p>
      <w:pPr>
        <w:shd w:val="clear"/>
        <w:adjustRightInd w:val="0"/>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w:t>
      </w:r>
      <w:r>
        <w:rPr>
          <w:rFonts w:hint="eastAsia" w:ascii="仿宋" w:hAnsi="仿宋" w:eastAsia="仿宋" w:cs="仿宋"/>
          <w:b/>
          <w:color w:val="auto"/>
          <w:sz w:val="28"/>
          <w:szCs w:val="28"/>
          <w:highlight w:val="none"/>
          <w:lang w:val="en-US" w:eastAsia="zh-CN"/>
        </w:rPr>
        <w:t>1</w:t>
      </w:r>
      <w:r>
        <w:rPr>
          <w:rFonts w:hint="eastAsia" w:ascii="仿宋" w:hAnsi="仿宋" w:eastAsia="仿宋" w:cs="仿宋"/>
          <w:b/>
          <w:color w:val="auto"/>
          <w:sz w:val="28"/>
          <w:szCs w:val="28"/>
          <w:highlight w:val="none"/>
        </w:rPr>
        <w:t>.评标</w:t>
      </w:r>
    </w:p>
    <w:p>
      <w:pPr>
        <w:shd w:val="clear"/>
        <w:adjustRightInd w:val="0"/>
        <w:snapToGrid w:val="0"/>
        <w:spacing w:line="360" w:lineRule="auto"/>
        <w:ind w:firstLine="560" w:firstLineChars="200"/>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.1 谈判小组将按照竞争性谈判文件规定的评标办法对供应商进行独立评审。</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2初审时，谈判小组将首先审查响应文件是否实质上响应竞争性谈判文件的初审指标要求。实质上响应的投标应与竞争性谈判文件的全部条款、条件和规格相符，没有重大偏离或保留。所谓重大偏离或保留是指影响合同的供货范围、质量和性能等；或者在实质上与竞争性谈判文件不一致，而且限制了合同中买方的权利或供应商的义务。这些偏离或保留将会对其他实质上响应要求的供应商的竞争地位产生不公正的影响。供应商不得通过修改或撤销不合要求的偏离或保留而使其投标成为响应性的投标。</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有下列情形之一的，竞争性谈判小组应当否决其投标：</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.2.1响应文件未经投标单位盖章的；</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.2.2投标联合体没有提交共同投标协议；</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.2.3供应商不符合国家或者竞争性谈判文件规定的资格条件；</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.2.4同一供应商提交两个以上不同的响应文件或者投标报价，但竞争性谈判文件要求提交备选投标的除外；</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.2.5投标报价低于成本或者高于竞争性谈判文件设定的最高投标限价；</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.2.6响应文件没有对竞争性谈判文件的实质性要求和条件作出响应；</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.2.7供应商有串通投标、弄虚作假、行贿等违法行为。</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.3评审时，谈判小组将审查响应文件是否符合竞争性谈判文件的评审指标要求。</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.4如果响应文件未通过投标有效性评审，投标无效。</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.5谈判小组决定响应文件的响应性及符合性只根据响应文件本身的内容而不寻求其他外部证据。</w:t>
      </w:r>
    </w:p>
    <w:p>
      <w:pPr>
        <w:shd w:val="clear"/>
        <w:adjustRightInd w:val="0"/>
        <w:snapToGrid w:val="0"/>
        <w:spacing w:line="36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color w:val="auto"/>
          <w:sz w:val="28"/>
          <w:szCs w:val="28"/>
          <w:highlight w:val="none"/>
        </w:rPr>
        <w:t>.</w:t>
      </w:r>
      <w:r>
        <w:rPr>
          <w:rFonts w:hint="eastAsia" w:ascii="仿宋" w:hAnsi="仿宋" w:eastAsia="仿宋" w:cs="仿宋"/>
          <w:b/>
          <w:bCs/>
          <w:color w:val="auto"/>
          <w:sz w:val="28"/>
          <w:szCs w:val="28"/>
          <w:highlight w:val="none"/>
        </w:rPr>
        <w:t>废标处理</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.1在采购中，出现下列情形之一的，竞争性谈判小组有权宣布废标：</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.1.1符合专业条件的供应商或对竞争性谈判文件作实质响应的供应商不足规定家数的；</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.1.2供应商的报价均超过采购预算，采购人不能支付的；</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.1.3出现影响采购公正的违法、违规行为的；</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.1.4因重大变故，采购任务取消的。</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.1.5 其他应该废标的情形。</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废标后，采购人会把废标理由通知所有供应商。</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.2 因上条第一款第二项规定情形导致废标的，若采购人提出申请，报经政财政部门批准，可现场改为竞争性谈判，供应商有下列情形之一的，不得参加谈判：</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.2.1购买响应文件后放弃参加投标的；</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.2.2未经采购人和采购代理机构允许，离开开标现场通知不上的；</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.2.3不符合竞争性谈判文件列明的专业条件的；</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.2.4未按规定交纳谈判保证金的；</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.2.5有影响采购公正的违法、违规行为造成项目废标的；</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.2.6其他不符合竞争性谈判条件的情况。</w:t>
      </w:r>
    </w:p>
    <w:p>
      <w:pPr>
        <w:shd w:val="clear"/>
        <w:adjustRightInd w:val="0"/>
        <w:snapToGrid w:val="0"/>
        <w:spacing w:line="360" w:lineRule="auto"/>
        <w:ind w:firstLine="562" w:firstLineChars="200"/>
        <w:jc w:val="left"/>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重新采购和流标对策</w:t>
      </w:r>
    </w:p>
    <w:p>
      <w:pPr>
        <w:shd w:val="clear"/>
        <w:adjustRightInd w:val="0"/>
        <w:snapToGrid w:val="0"/>
        <w:spacing w:line="360" w:lineRule="auto"/>
        <w:ind w:firstLine="560" w:firstLineChars="20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有下列情形之一的，采购人将重新采购：</w:t>
      </w:r>
    </w:p>
    <w:p>
      <w:pPr>
        <w:shd w:val="clear"/>
        <w:adjustRightInd w:val="0"/>
        <w:snapToGrid w:val="0"/>
        <w:spacing w:line="360" w:lineRule="auto"/>
        <w:ind w:firstLine="560" w:firstLineChars="200"/>
        <w:jc w:val="left"/>
        <w:outlineLvl w:val="4"/>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（1）至投标截止时间，供应商少于3个的；</w:t>
      </w:r>
    </w:p>
    <w:p>
      <w:pPr>
        <w:shd w:val="clear"/>
        <w:adjustRightInd w:val="0"/>
        <w:snapToGrid w:val="0"/>
        <w:spacing w:line="360" w:lineRule="auto"/>
        <w:ind w:firstLine="560" w:firstLineChars="200"/>
        <w:jc w:val="left"/>
        <w:outlineLvl w:val="4"/>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（2）经竞争性谈判小组评审，出现符合专业条件的供应商或者对竞争性谈判文件作出实质响应的供应商不足3家情形的；</w:t>
      </w:r>
    </w:p>
    <w:p>
      <w:pPr>
        <w:shd w:val="clear"/>
        <w:adjustRightInd w:val="0"/>
        <w:snapToGrid w:val="0"/>
        <w:spacing w:line="360" w:lineRule="auto"/>
        <w:ind w:firstLine="560" w:firstLineChars="200"/>
        <w:jc w:val="left"/>
        <w:outlineLvl w:val="4"/>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如本项目采购失败，则根据竞争性谈判小组的流标原因分析结论以及建议，重新组织采购工作。</w:t>
      </w:r>
    </w:p>
    <w:p>
      <w:pPr>
        <w:keepNext/>
        <w:keepLines/>
        <w:widowControl w:val="0"/>
        <w:shd w:val="clear"/>
        <w:adjustRightInd w:val="0"/>
        <w:snapToGrid w:val="0"/>
        <w:spacing w:line="360" w:lineRule="auto"/>
        <w:ind w:firstLine="562" w:firstLineChars="200"/>
        <w:jc w:val="center"/>
        <w:outlineLvl w:val="2"/>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六．定标与签订合同</w:t>
      </w:r>
    </w:p>
    <w:p>
      <w:pPr>
        <w:shd w:val="clear"/>
        <w:adjustRightInd w:val="0"/>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w:t>
      </w:r>
      <w:r>
        <w:rPr>
          <w:rFonts w:hint="eastAsia" w:ascii="仿宋" w:hAnsi="仿宋" w:eastAsia="仿宋" w:cs="仿宋"/>
          <w:b/>
          <w:color w:val="auto"/>
          <w:sz w:val="28"/>
          <w:szCs w:val="28"/>
          <w:highlight w:val="none"/>
          <w:lang w:val="en-US" w:eastAsia="zh-CN"/>
        </w:rPr>
        <w:t>3</w:t>
      </w:r>
      <w:r>
        <w:rPr>
          <w:rFonts w:hint="eastAsia" w:ascii="仿宋" w:hAnsi="仿宋" w:eastAsia="仿宋" w:cs="仿宋"/>
          <w:b/>
          <w:color w:val="auto"/>
          <w:sz w:val="28"/>
          <w:szCs w:val="28"/>
          <w:highlight w:val="none"/>
        </w:rPr>
        <w:t>.定标</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.1 投标有效性评审后，谈判小组应当按竞争性谈判文件规定的标准和方法提出独立评审意见，推荐成交候选人。</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.2 排名第一的成交候选人放弃中标、因不可抗力不能履行合同、不按照竞争性谈判文件要求提交履约保证金，或者被查实存在影响中标结果的违法行为等情形，不符合中标条件的，采购人可以按照竞争性谈判小组提出的成交候选人名单排序依次确定其他成交候选人为成交供应商，也可以重新采购。</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.3采购人依法将合同授予实质上响应竞争性谈判文件要求的排名最前的成交候选人。</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.4 最低报价并不是被授予合同的保证。</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.5 凡发现成交候选人有下列行为之一的，其中标无效，并移交政府采购监督管理部门依法处理：</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.5.1 以他人名义投标、或提供虚假材料弄虚作假谋取中标的；</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.5.1.1以他人名义投标，是指使用通过受让或者租借等方式获取的资格、资质证书投标。</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.5.1.2有供应商有下列情形之一的，属于弄虚作假的行为：</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.5.1.2.1使用伪造、变造的许可证件；</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.5.1.2.2提供虚假的财务状况或者业绩；</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.5.1.2.3提供虚假的项目负责人或者主要技术人员简历、劳动关系证明；</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.5.1.2.4提供虚假的信用状况；</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.5.1.2.5其他弄虚作假的行为。</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.5.2与采购人、其他供应商或者采购人工作人员恶意串通的；</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.5.3向采购人、评审专家、采购人工作人员行贿或者提供其他不正当利益的；</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.5.4有法律、法规规定的其他损害采购人利益和社会公共利益情形的；</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.5.5其他违反招投标法律、法规和规章强制性规定的行为。</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.6采购人将张贴公告中标结果公示，公示时间为一个工作日。</w:t>
      </w:r>
    </w:p>
    <w:p>
      <w:pPr>
        <w:shd w:val="clear"/>
        <w:adjustRightInd w:val="0"/>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w:t>
      </w:r>
      <w:r>
        <w:rPr>
          <w:rFonts w:hint="eastAsia" w:ascii="仿宋" w:hAnsi="仿宋" w:eastAsia="仿宋" w:cs="仿宋"/>
          <w:b/>
          <w:color w:val="auto"/>
          <w:sz w:val="28"/>
          <w:szCs w:val="28"/>
          <w:highlight w:val="none"/>
          <w:lang w:val="en-US" w:eastAsia="zh-CN"/>
        </w:rPr>
        <w:t>4</w:t>
      </w:r>
      <w:r>
        <w:rPr>
          <w:rFonts w:hint="eastAsia" w:ascii="仿宋" w:hAnsi="仿宋" w:eastAsia="仿宋" w:cs="仿宋"/>
          <w:b/>
          <w:color w:val="auto"/>
          <w:sz w:val="28"/>
          <w:szCs w:val="28"/>
          <w:highlight w:val="none"/>
        </w:rPr>
        <w:t>.中标通知书</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.1采购人将以中标通知书形式通知成交供应商，其投标已被接受。</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.2采购人对未中标的供应商不做未中标原因的解释。</w:t>
      </w:r>
    </w:p>
    <w:p>
      <w:pPr>
        <w:shd w:val="clear"/>
        <w:adjustRightInd w:val="0"/>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w:t>
      </w:r>
      <w:r>
        <w:rPr>
          <w:rFonts w:hint="eastAsia" w:ascii="仿宋" w:hAnsi="仿宋" w:eastAsia="仿宋" w:cs="仿宋"/>
          <w:b/>
          <w:color w:val="auto"/>
          <w:sz w:val="28"/>
          <w:szCs w:val="28"/>
          <w:highlight w:val="none"/>
          <w:lang w:val="en-US" w:eastAsia="zh-CN"/>
        </w:rPr>
        <w:t>5</w:t>
      </w:r>
      <w:r>
        <w:rPr>
          <w:rFonts w:hint="eastAsia" w:ascii="仿宋" w:hAnsi="仿宋" w:eastAsia="仿宋" w:cs="仿宋"/>
          <w:b/>
          <w:color w:val="auto"/>
          <w:sz w:val="28"/>
          <w:szCs w:val="28"/>
          <w:highlight w:val="none"/>
        </w:rPr>
        <w:t>.中标服务费</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.1按照采购代理协议支付，由成交供应商在领取中标通知书时向采购代理机构一次性付清。</w:t>
      </w:r>
    </w:p>
    <w:p>
      <w:pPr>
        <w:shd w:val="clear"/>
        <w:adjustRightInd w:val="0"/>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.2供应商须知前附表约定收取定额服务费或免收服务费的，从其规定。</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.3如果成交供应商未按照上条规定交纳中标服务费，采购人有权取消该授标，其投标保证金不予退还。在此情况下采购人可将该标授予其下一个成交候选人，或重新采购。</w:t>
      </w:r>
    </w:p>
    <w:p>
      <w:pPr>
        <w:shd w:val="clear"/>
        <w:adjustRightInd w:val="0"/>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w:t>
      </w:r>
      <w:r>
        <w:rPr>
          <w:rFonts w:hint="eastAsia" w:ascii="仿宋" w:hAnsi="仿宋" w:eastAsia="仿宋" w:cs="仿宋"/>
          <w:b/>
          <w:color w:val="auto"/>
          <w:sz w:val="28"/>
          <w:szCs w:val="28"/>
          <w:highlight w:val="none"/>
          <w:lang w:val="en-US" w:eastAsia="zh-CN"/>
        </w:rPr>
        <w:t>6</w:t>
      </w:r>
      <w:r>
        <w:rPr>
          <w:rFonts w:hint="eastAsia" w:ascii="仿宋" w:hAnsi="仿宋" w:eastAsia="仿宋" w:cs="仿宋"/>
          <w:b/>
          <w:color w:val="auto"/>
          <w:sz w:val="28"/>
          <w:szCs w:val="28"/>
          <w:highlight w:val="none"/>
        </w:rPr>
        <w:t>.履约保证金</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.1签订合同前，成交供应商应提交履约保证金。履约保证金金额、收受方式及收受人见供应商须知前附表规定。</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.2供应商须知前附表约定收取定额履约保证金或免收履约保证金的，从其规定。</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.3如果成交供应商未按规定交纳履约保证金，采购人有权取消该授标，并没收其投标保证金。在此情况下采购人可将该标授予其下一个成交候选人，或重新采购。</w:t>
      </w:r>
    </w:p>
    <w:p>
      <w:pPr>
        <w:shd w:val="clear"/>
        <w:adjustRightInd w:val="0"/>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w:t>
      </w:r>
      <w:r>
        <w:rPr>
          <w:rFonts w:hint="eastAsia" w:ascii="仿宋" w:hAnsi="仿宋" w:eastAsia="仿宋" w:cs="仿宋"/>
          <w:b/>
          <w:color w:val="auto"/>
          <w:sz w:val="28"/>
          <w:szCs w:val="28"/>
          <w:highlight w:val="none"/>
          <w:lang w:val="en-US" w:eastAsia="zh-CN"/>
        </w:rPr>
        <w:t>7</w:t>
      </w:r>
      <w:r>
        <w:rPr>
          <w:rFonts w:hint="eastAsia" w:ascii="仿宋" w:hAnsi="仿宋" w:eastAsia="仿宋" w:cs="仿宋"/>
          <w:b/>
          <w:color w:val="auto"/>
          <w:sz w:val="28"/>
          <w:szCs w:val="28"/>
          <w:highlight w:val="none"/>
        </w:rPr>
        <w:t>.签订合同</w:t>
      </w:r>
    </w:p>
    <w:p>
      <w:pPr>
        <w:shd w:val="clea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2</w:t>
      </w:r>
      <w:r>
        <w:rPr>
          <w:rFonts w:hint="eastAsia" w:ascii="仿宋" w:hAnsi="仿宋" w:eastAsia="仿宋" w:cs="仿宋"/>
          <w:b/>
          <w:color w:val="auto"/>
          <w:sz w:val="28"/>
          <w:szCs w:val="28"/>
          <w:highlight w:val="none"/>
          <w:lang w:val="en-US" w:eastAsia="zh-CN"/>
        </w:rPr>
        <w:t>7</w:t>
      </w:r>
      <w:r>
        <w:rPr>
          <w:rFonts w:hint="eastAsia" w:ascii="仿宋" w:hAnsi="仿宋" w:eastAsia="仿宋" w:cs="仿宋"/>
          <w:b/>
          <w:color w:val="auto"/>
          <w:sz w:val="28"/>
          <w:szCs w:val="28"/>
          <w:highlight w:val="none"/>
        </w:rPr>
        <w:t>.1成交供应商应在中标通知书发出之日起7日内，</w:t>
      </w:r>
      <w:r>
        <w:rPr>
          <w:rFonts w:hint="eastAsia" w:ascii="仿宋" w:hAnsi="仿宋" w:eastAsia="仿宋" w:cs="仿宋"/>
          <w:color w:val="auto"/>
          <w:sz w:val="28"/>
          <w:szCs w:val="28"/>
          <w:highlight w:val="none"/>
        </w:rPr>
        <w:t>与采购人签订合同。竞争性谈判文件、成交供应商的响应文件及澄清文件等，均作为合同的附件。合同签订前成交供应商应向采购人出示中标服务费和履约保证金缴纳证明。成交供应商逾期未与业主签订合同，采购人有权取消按成交供应商的中标资格，并按照有关法律规定追究其相应的法律责任。业主有权没收其投标保证金，以抵偿对采购人造成的损失。采购方逾期不与成交供应商签订合同的，按政府采购的有关规定处理。</w:t>
      </w:r>
    </w:p>
    <w:p>
      <w:pPr>
        <w:widowControl w:val="0"/>
        <w:shd w:val="clear"/>
        <w:autoSpaceDE w:val="0"/>
        <w:autoSpaceDN w:val="0"/>
        <w:adjustRightInd w:val="0"/>
        <w:snapToGrid w:val="0"/>
        <w:spacing w:line="360" w:lineRule="auto"/>
        <w:ind w:firstLine="560" w:firstLineChars="200"/>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27.2 采购双方必须严格按照竞争性谈判文件、响应文件及有关承诺签订采购合同，不得擅自变更。合同的标的、价款、质量、履行期限等主要条款应当与竞争性谈判文件和成交供应商的响应文件的内容一致，采购人和成交供应商不得再行订立背离合同实质性内容的其他协议。对任何因双方擅自变更合同引起的问题采购人概不负责，合同风险由双方自行承担。采购人在合同履行中，需追加与合同标的相同的货物或者服务的，在不改变合同其他条款的前提下，可与供应商协商签订补充合同，但所有补充合同的采购金额不得超过原合同采购金额的百分之十。</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.3采购人保留以书面形式要求合同的卖方对其所投货物的装运方式、交货地点及服务细则等作适当调整的权利。</w:t>
      </w:r>
    </w:p>
    <w:p>
      <w:pPr>
        <w:shd w:val="clear"/>
        <w:adjustRightInd w:val="0"/>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.4</w:t>
      </w:r>
      <w:r>
        <w:rPr>
          <w:rFonts w:hint="eastAsia" w:ascii="仿宋" w:hAnsi="仿宋" w:eastAsia="仿宋" w:cs="仿宋"/>
          <w:bCs/>
          <w:color w:val="auto"/>
          <w:sz w:val="28"/>
          <w:szCs w:val="28"/>
          <w:highlight w:val="none"/>
        </w:rPr>
        <w:t>无论基于何种原因，各项本应作拒绝处理的情形即便未被及时发现而使该供应商进入初审、详细评审或其它后续程序，包括已经签约的情形，一旦在任何时间被发现，采购人均有权决定是否取消该供应商此前评议的结果或是否对该报价予以拒绝，并有权采取相应的补救或纠正措施。一旦该供应商被拒绝或被取消此前评议结果，其现有的位置将被其他供应商依序替代或重新组织采购，相关的一切损失均由该供应商自行承担。</w:t>
      </w:r>
    </w:p>
    <w:p>
      <w:pPr>
        <w:shd w:val="clea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2</w:t>
      </w:r>
      <w:r>
        <w:rPr>
          <w:rFonts w:hint="eastAsia" w:ascii="仿宋" w:hAnsi="仿宋" w:eastAsia="仿宋" w:cs="仿宋"/>
          <w:b/>
          <w:color w:val="auto"/>
          <w:sz w:val="28"/>
          <w:szCs w:val="28"/>
          <w:highlight w:val="none"/>
          <w:lang w:val="en-US" w:eastAsia="zh-CN"/>
        </w:rPr>
        <w:t>8</w:t>
      </w:r>
      <w:r>
        <w:rPr>
          <w:rFonts w:hint="eastAsia" w:ascii="仿宋" w:hAnsi="仿宋" w:eastAsia="仿宋" w:cs="仿宋"/>
          <w:b/>
          <w:color w:val="auto"/>
          <w:sz w:val="28"/>
          <w:szCs w:val="28"/>
          <w:highlight w:val="none"/>
        </w:rPr>
        <w:t>.验收</w:t>
      </w:r>
    </w:p>
    <w:p>
      <w:pPr>
        <w:shd w:val="clear"/>
        <w:adjustRightInd w:val="0"/>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.1</w:t>
      </w:r>
      <w:r>
        <w:rPr>
          <w:rFonts w:hint="eastAsia" w:ascii="仿宋" w:hAnsi="仿宋" w:eastAsia="仿宋" w:cs="仿宋"/>
          <w:bCs/>
          <w:color w:val="auto"/>
          <w:sz w:val="28"/>
          <w:szCs w:val="28"/>
          <w:highlight w:val="none"/>
        </w:rPr>
        <w:t>采购人验收时，应成立验收小组，明确责任，严格依照采购文件、中标通知书、政府采购合同及相关验收规范进行核对、验收，形成验收结论，并出具书面验收报告。</w:t>
      </w:r>
    </w:p>
    <w:p>
      <w:pPr>
        <w:shd w:val="clear"/>
        <w:adjustRightInd w:val="0"/>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.2</w:t>
      </w:r>
      <w:r>
        <w:rPr>
          <w:rFonts w:hint="eastAsia" w:ascii="仿宋" w:hAnsi="仿宋" w:eastAsia="仿宋" w:cs="仿宋"/>
          <w:bCs/>
          <w:color w:val="auto"/>
          <w:sz w:val="28"/>
          <w:szCs w:val="28"/>
          <w:highlight w:val="none"/>
        </w:rPr>
        <w:t>涉及安全、消防、环保等其他需要由质检或行业主管部门进行验收的项目，必须邀请相关部门或相关专家参与验收。</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.3</w:t>
      </w:r>
      <w:r>
        <w:rPr>
          <w:rFonts w:hint="eastAsia" w:ascii="仿宋" w:hAnsi="仿宋" w:eastAsia="仿宋" w:cs="仿宋"/>
          <w:bCs/>
          <w:color w:val="auto"/>
          <w:sz w:val="28"/>
          <w:szCs w:val="28"/>
          <w:highlight w:val="none"/>
        </w:rPr>
        <w:t>鉴定、验收费用均由合同乙方（成交供应商）承担。</w:t>
      </w:r>
    </w:p>
    <w:p>
      <w:pPr>
        <w:shd w:val="clear"/>
        <w:adjustRightInd w:val="0"/>
        <w:snapToGrid w:val="0"/>
        <w:spacing w:line="36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lang w:val="en-US" w:eastAsia="zh-CN"/>
        </w:rPr>
        <w:t>9</w:t>
      </w:r>
      <w:r>
        <w:rPr>
          <w:rFonts w:hint="eastAsia" w:ascii="仿宋" w:hAnsi="仿宋" w:eastAsia="仿宋" w:cs="仿宋"/>
          <w:b/>
          <w:color w:val="auto"/>
          <w:sz w:val="28"/>
          <w:szCs w:val="28"/>
          <w:highlight w:val="none"/>
        </w:rPr>
        <w:t>.</w:t>
      </w:r>
      <w:r>
        <w:rPr>
          <w:rFonts w:hint="eastAsia" w:ascii="仿宋" w:hAnsi="仿宋" w:eastAsia="仿宋" w:cs="仿宋"/>
          <w:b/>
          <w:bCs/>
          <w:color w:val="auto"/>
          <w:sz w:val="28"/>
          <w:szCs w:val="28"/>
          <w:highlight w:val="none"/>
        </w:rPr>
        <w:t>质疑</w:t>
      </w:r>
    </w:p>
    <w:p>
      <w:pPr>
        <w:shd w:val="clear"/>
        <w:adjustRightInd w:val="0"/>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w:t>
      </w:r>
      <w:r>
        <w:rPr>
          <w:rFonts w:hint="eastAsia" w:ascii="仿宋" w:hAnsi="仿宋" w:eastAsia="仿宋" w:cs="仿宋"/>
          <w:bCs/>
          <w:color w:val="auto"/>
          <w:sz w:val="28"/>
          <w:szCs w:val="28"/>
          <w:highlight w:val="none"/>
          <w:lang w:val="en-US" w:eastAsia="zh-CN"/>
        </w:rPr>
        <w:t>9</w:t>
      </w:r>
      <w:r>
        <w:rPr>
          <w:rFonts w:hint="eastAsia" w:ascii="仿宋" w:hAnsi="仿宋" w:eastAsia="仿宋" w:cs="仿宋"/>
          <w:bCs/>
          <w:color w:val="auto"/>
          <w:sz w:val="28"/>
          <w:szCs w:val="28"/>
          <w:highlight w:val="none"/>
        </w:rPr>
        <w:t>.1供应商认为采购过程、中标结果使自己的合法权益受到损害的，可以在中标</w:t>
      </w:r>
      <w:r>
        <w:rPr>
          <w:rFonts w:hint="eastAsia" w:ascii="仿宋" w:hAnsi="仿宋" w:eastAsia="仿宋" w:cs="仿宋"/>
          <w:bCs/>
          <w:color w:val="auto"/>
          <w:sz w:val="28"/>
          <w:szCs w:val="28"/>
          <w:highlight w:val="none"/>
          <w:lang w:eastAsia="zh-CN"/>
        </w:rPr>
        <w:t>竞争性谈判公告</w:t>
      </w:r>
      <w:r>
        <w:rPr>
          <w:rFonts w:hint="eastAsia" w:ascii="仿宋" w:hAnsi="仿宋" w:eastAsia="仿宋" w:cs="仿宋"/>
          <w:bCs/>
          <w:color w:val="auto"/>
          <w:sz w:val="28"/>
          <w:szCs w:val="28"/>
          <w:highlight w:val="none"/>
        </w:rPr>
        <w:t>之日起7个工作日内，由供应商授权代表（或法人代表）携带身份证明材料，以书面形式向采购人和采购代理机构提出质疑，逾期不予受理。</w:t>
      </w:r>
    </w:p>
    <w:p>
      <w:pPr>
        <w:shd w:val="clear"/>
        <w:adjustRightInd w:val="0"/>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w:t>
      </w:r>
      <w:r>
        <w:rPr>
          <w:rFonts w:hint="eastAsia" w:ascii="仿宋" w:hAnsi="仿宋" w:eastAsia="仿宋" w:cs="仿宋"/>
          <w:bCs/>
          <w:color w:val="auto"/>
          <w:sz w:val="28"/>
          <w:szCs w:val="28"/>
          <w:highlight w:val="none"/>
          <w:lang w:val="en-US" w:eastAsia="zh-CN"/>
        </w:rPr>
        <w:t>9</w:t>
      </w:r>
      <w:r>
        <w:rPr>
          <w:rFonts w:hint="eastAsia" w:ascii="仿宋" w:hAnsi="仿宋" w:eastAsia="仿宋" w:cs="仿宋"/>
          <w:bCs/>
          <w:color w:val="auto"/>
          <w:sz w:val="28"/>
          <w:szCs w:val="28"/>
          <w:highlight w:val="none"/>
        </w:rPr>
        <w:t>.2质疑书内容应包括质疑的详细理由和依据，并提供有关证明资料。</w:t>
      </w:r>
    </w:p>
    <w:p>
      <w:pPr>
        <w:shd w:val="clear"/>
        <w:adjustRightInd w:val="0"/>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w:t>
      </w:r>
      <w:r>
        <w:rPr>
          <w:rFonts w:hint="eastAsia" w:ascii="仿宋" w:hAnsi="仿宋" w:eastAsia="仿宋" w:cs="仿宋"/>
          <w:bCs/>
          <w:color w:val="auto"/>
          <w:sz w:val="28"/>
          <w:szCs w:val="28"/>
          <w:highlight w:val="none"/>
          <w:lang w:val="en-US" w:eastAsia="zh-CN"/>
        </w:rPr>
        <w:t>9</w:t>
      </w:r>
      <w:r>
        <w:rPr>
          <w:rFonts w:hint="eastAsia" w:ascii="仿宋" w:hAnsi="仿宋" w:eastAsia="仿宋" w:cs="仿宋"/>
          <w:bCs/>
          <w:color w:val="auto"/>
          <w:sz w:val="28"/>
          <w:szCs w:val="28"/>
          <w:highlight w:val="none"/>
        </w:rPr>
        <w:t>.3 有以下情形之一的，视为无效质疑：</w:t>
      </w:r>
    </w:p>
    <w:p>
      <w:pPr>
        <w:shd w:val="clear"/>
        <w:adjustRightInd w:val="0"/>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w:t>
      </w:r>
      <w:r>
        <w:rPr>
          <w:rFonts w:hint="eastAsia" w:ascii="仿宋" w:hAnsi="仿宋" w:eastAsia="仿宋" w:cs="仿宋"/>
          <w:bCs/>
          <w:color w:val="auto"/>
          <w:sz w:val="28"/>
          <w:szCs w:val="28"/>
          <w:highlight w:val="none"/>
          <w:lang w:val="en-US" w:eastAsia="zh-CN"/>
        </w:rPr>
        <w:t>9</w:t>
      </w:r>
      <w:r>
        <w:rPr>
          <w:rFonts w:hint="eastAsia" w:ascii="仿宋" w:hAnsi="仿宋" w:eastAsia="仿宋" w:cs="仿宋"/>
          <w:bCs/>
          <w:color w:val="auto"/>
          <w:sz w:val="28"/>
          <w:szCs w:val="28"/>
          <w:highlight w:val="none"/>
        </w:rPr>
        <w:t>.3.1 未按规定时间或规定手续提交质疑的；</w:t>
      </w:r>
    </w:p>
    <w:p>
      <w:pPr>
        <w:shd w:val="clear"/>
        <w:adjustRightInd w:val="0"/>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w:t>
      </w:r>
      <w:r>
        <w:rPr>
          <w:rFonts w:hint="eastAsia" w:ascii="仿宋" w:hAnsi="仿宋" w:eastAsia="仿宋" w:cs="仿宋"/>
          <w:bCs/>
          <w:color w:val="auto"/>
          <w:sz w:val="28"/>
          <w:szCs w:val="28"/>
          <w:highlight w:val="none"/>
          <w:lang w:val="en-US" w:eastAsia="zh-CN"/>
        </w:rPr>
        <w:t>9</w:t>
      </w:r>
      <w:r>
        <w:rPr>
          <w:rFonts w:hint="eastAsia" w:ascii="仿宋" w:hAnsi="仿宋" w:eastAsia="仿宋" w:cs="仿宋"/>
          <w:bCs/>
          <w:color w:val="auto"/>
          <w:sz w:val="28"/>
          <w:szCs w:val="28"/>
          <w:highlight w:val="none"/>
        </w:rPr>
        <w:t>.3.2 质疑内容含糊不清、没有提供详细理由和依据，无法进行核查的；</w:t>
      </w:r>
    </w:p>
    <w:p>
      <w:pPr>
        <w:shd w:val="clear"/>
        <w:adjustRightInd w:val="0"/>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w:t>
      </w:r>
      <w:r>
        <w:rPr>
          <w:rFonts w:hint="eastAsia" w:ascii="仿宋" w:hAnsi="仿宋" w:eastAsia="仿宋" w:cs="仿宋"/>
          <w:bCs/>
          <w:color w:val="auto"/>
          <w:sz w:val="28"/>
          <w:szCs w:val="28"/>
          <w:highlight w:val="none"/>
          <w:lang w:val="en-US" w:eastAsia="zh-CN"/>
        </w:rPr>
        <w:t>9</w:t>
      </w:r>
      <w:r>
        <w:rPr>
          <w:rFonts w:hint="eastAsia" w:ascii="仿宋" w:hAnsi="仿宋" w:eastAsia="仿宋" w:cs="仿宋"/>
          <w:bCs/>
          <w:color w:val="auto"/>
          <w:sz w:val="28"/>
          <w:szCs w:val="28"/>
          <w:highlight w:val="none"/>
        </w:rPr>
        <w:t>.3.3 其他不符合质疑程序和有关规定的。</w:t>
      </w:r>
    </w:p>
    <w:p>
      <w:pPr>
        <w:shd w:val="clear"/>
        <w:adjustRightInd w:val="0"/>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被判定无效质疑的，采购人和采购代理机构将书面回复投标单位其质疑无效的理由，并记录无效质疑一次。</w:t>
      </w:r>
    </w:p>
    <w:p>
      <w:pPr>
        <w:shd w:val="clear"/>
        <w:adjustRightInd w:val="0"/>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w:t>
      </w:r>
      <w:r>
        <w:rPr>
          <w:rFonts w:hint="eastAsia" w:ascii="仿宋" w:hAnsi="仿宋" w:eastAsia="仿宋" w:cs="仿宋"/>
          <w:bCs/>
          <w:color w:val="auto"/>
          <w:sz w:val="28"/>
          <w:szCs w:val="28"/>
          <w:highlight w:val="none"/>
          <w:lang w:val="en-US" w:eastAsia="zh-CN"/>
        </w:rPr>
        <w:t>9</w:t>
      </w:r>
      <w:r>
        <w:rPr>
          <w:rFonts w:hint="eastAsia" w:ascii="仿宋" w:hAnsi="仿宋" w:eastAsia="仿宋" w:cs="仿宋"/>
          <w:bCs/>
          <w:color w:val="auto"/>
          <w:sz w:val="28"/>
          <w:szCs w:val="28"/>
          <w:highlight w:val="none"/>
        </w:rPr>
        <w:t>.4采购人和采购代理机构将在受到书面质疑后7个工作日内审查质疑事项，作出答复或相关处理决定，并以书面形式通知质疑人，但答复的内容不涉及商业秘密。</w:t>
      </w:r>
    </w:p>
    <w:p>
      <w:pPr>
        <w:shd w:val="clear"/>
        <w:adjustRightInd w:val="0"/>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w:t>
      </w:r>
      <w:r>
        <w:rPr>
          <w:rFonts w:hint="eastAsia" w:ascii="仿宋" w:hAnsi="仿宋" w:eastAsia="仿宋" w:cs="仿宋"/>
          <w:bCs/>
          <w:color w:val="auto"/>
          <w:sz w:val="28"/>
          <w:szCs w:val="28"/>
          <w:highlight w:val="none"/>
          <w:lang w:val="en-US" w:eastAsia="zh-CN"/>
        </w:rPr>
        <w:t>9</w:t>
      </w:r>
      <w:r>
        <w:rPr>
          <w:rFonts w:hint="eastAsia" w:ascii="仿宋" w:hAnsi="仿宋" w:eastAsia="仿宋" w:cs="仿宋"/>
          <w:bCs/>
          <w:color w:val="auto"/>
          <w:sz w:val="28"/>
          <w:szCs w:val="28"/>
          <w:highlight w:val="none"/>
        </w:rPr>
        <w:t>.5</w:t>
      </w:r>
      <w:r>
        <w:rPr>
          <w:rFonts w:hint="eastAsia" w:ascii="仿宋" w:hAnsi="仿宋" w:eastAsia="仿宋" w:cs="仿宋"/>
          <w:b/>
          <w:color w:val="auto"/>
          <w:sz w:val="28"/>
          <w:szCs w:val="28"/>
          <w:highlight w:val="none"/>
        </w:rPr>
        <w:t>投诉人有下列情形之一的，属于虚假、恶意投诉，监督管理部门将驳回投诉，将其列入不良行为记录名单，并依法予以处罚：</w:t>
      </w:r>
    </w:p>
    <w:p>
      <w:pPr>
        <w:shd w:val="clear"/>
        <w:adjustRightInd w:val="0"/>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w:t>
      </w:r>
      <w:r>
        <w:rPr>
          <w:rFonts w:hint="eastAsia" w:ascii="仿宋" w:hAnsi="仿宋" w:eastAsia="仿宋" w:cs="仿宋"/>
          <w:bCs/>
          <w:color w:val="auto"/>
          <w:sz w:val="28"/>
          <w:szCs w:val="28"/>
          <w:highlight w:val="none"/>
          <w:lang w:val="en-US" w:eastAsia="zh-CN"/>
        </w:rPr>
        <w:t>9</w:t>
      </w:r>
      <w:r>
        <w:rPr>
          <w:rFonts w:hint="eastAsia" w:ascii="仿宋" w:hAnsi="仿宋" w:eastAsia="仿宋" w:cs="仿宋"/>
          <w:bCs/>
          <w:color w:val="auto"/>
          <w:sz w:val="28"/>
          <w:szCs w:val="28"/>
          <w:highlight w:val="none"/>
        </w:rPr>
        <w:t>.5.1一年内三次以上投诉均查无实据的；</w:t>
      </w:r>
    </w:p>
    <w:p>
      <w:pPr>
        <w:shd w:val="clear"/>
        <w:adjustRightInd w:val="0"/>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w:t>
      </w:r>
      <w:r>
        <w:rPr>
          <w:rFonts w:hint="eastAsia" w:ascii="仿宋" w:hAnsi="仿宋" w:eastAsia="仿宋" w:cs="仿宋"/>
          <w:bCs/>
          <w:color w:val="auto"/>
          <w:sz w:val="28"/>
          <w:szCs w:val="28"/>
          <w:highlight w:val="none"/>
          <w:lang w:val="en-US" w:eastAsia="zh-CN"/>
        </w:rPr>
        <w:t>9</w:t>
      </w:r>
      <w:r>
        <w:rPr>
          <w:rFonts w:hint="eastAsia" w:ascii="仿宋" w:hAnsi="仿宋" w:eastAsia="仿宋" w:cs="仿宋"/>
          <w:bCs/>
          <w:color w:val="auto"/>
          <w:sz w:val="28"/>
          <w:szCs w:val="28"/>
          <w:highlight w:val="none"/>
        </w:rPr>
        <w:t>.5.2捏造事实、提供虚假投诉材料或提供以非法手段取得的证明材料质疑的；</w:t>
      </w:r>
    </w:p>
    <w:p>
      <w:pPr>
        <w:shd w:val="clear"/>
        <w:adjustRightInd w:val="0"/>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w:t>
      </w:r>
      <w:r>
        <w:rPr>
          <w:rFonts w:hint="eastAsia" w:ascii="仿宋" w:hAnsi="仿宋" w:eastAsia="仿宋" w:cs="仿宋"/>
          <w:bCs/>
          <w:color w:val="auto"/>
          <w:sz w:val="28"/>
          <w:szCs w:val="28"/>
          <w:highlight w:val="none"/>
          <w:lang w:val="en-US" w:eastAsia="zh-CN"/>
        </w:rPr>
        <w:t>9</w:t>
      </w:r>
      <w:r>
        <w:rPr>
          <w:rFonts w:hint="eastAsia" w:ascii="仿宋" w:hAnsi="仿宋" w:eastAsia="仿宋" w:cs="仿宋"/>
          <w:bCs/>
          <w:color w:val="auto"/>
          <w:sz w:val="28"/>
          <w:szCs w:val="28"/>
          <w:highlight w:val="none"/>
        </w:rPr>
        <w:t>.5.3其他经认定属于虚假、恶意投诉的行为。</w:t>
      </w:r>
    </w:p>
    <w:p>
      <w:pPr>
        <w:shd w:val="clear"/>
        <w:adjustRightInd w:val="0"/>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30</w:t>
      </w:r>
      <w:r>
        <w:rPr>
          <w:rFonts w:hint="eastAsia" w:ascii="仿宋" w:hAnsi="仿宋" w:eastAsia="仿宋" w:cs="仿宋"/>
          <w:b/>
          <w:color w:val="auto"/>
          <w:sz w:val="28"/>
          <w:szCs w:val="28"/>
          <w:highlight w:val="none"/>
        </w:rPr>
        <w:t>.未尽事宜</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.1按《中华人民共和国政府采购法》及其他有关法律法规的规定执行。</w:t>
      </w:r>
    </w:p>
    <w:p>
      <w:pPr>
        <w:shd w:val="clear"/>
        <w:adjustRightInd w:val="0"/>
        <w:snapToGrid w:val="0"/>
        <w:spacing w:line="360" w:lineRule="auto"/>
        <w:ind w:firstLine="562" w:firstLineChars="200"/>
        <w:rPr>
          <w:rFonts w:hint="eastAsia" w:ascii="仿宋" w:hAnsi="仿宋" w:eastAsia="仿宋" w:cs="仿宋"/>
          <w:bCs/>
          <w:color w:val="auto"/>
          <w:sz w:val="28"/>
          <w:szCs w:val="28"/>
          <w:highlight w:val="none"/>
        </w:rPr>
      </w:pPr>
      <w:r>
        <w:rPr>
          <w:rFonts w:hint="eastAsia" w:ascii="仿宋" w:hAnsi="仿宋" w:eastAsia="仿宋" w:cs="仿宋"/>
          <w:b/>
          <w:color w:val="auto"/>
          <w:sz w:val="28"/>
          <w:szCs w:val="28"/>
          <w:highlight w:val="none"/>
        </w:rPr>
        <w:t>3</w:t>
      </w:r>
      <w:r>
        <w:rPr>
          <w:rFonts w:hint="eastAsia" w:ascii="仿宋" w:hAnsi="仿宋" w:eastAsia="仿宋" w:cs="仿宋"/>
          <w:b/>
          <w:color w:val="auto"/>
          <w:sz w:val="28"/>
          <w:szCs w:val="28"/>
          <w:highlight w:val="none"/>
          <w:lang w:val="en-US" w:eastAsia="zh-CN"/>
        </w:rPr>
        <w:t>1</w:t>
      </w:r>
      <w:r>
        <w:rPr>
          <w:rFonts w:hint="eastAsia" w:ascii="仿宋" w:hAnsi="仿宋" w:eastAsia="仿宋" w:cs="仿宋"/>
          <w:b/>
          <w:color w:val="auto"/>
          <w:sz w:val="28"/>
          <w:szCs w:val="28"/>
          <w:highlight w:val="none"/>
        </w:rPr>
        <w:t>.解释权</w:t>
      </w:r>
    </w:p>
    <w:p>
      <w:pPr>
        <w:shd w:val="clear"/>
        <w:adjustRightInd w:val="0"/>
        <w:snapToGrid w:val="0"/>
        <w:spacing w:line="360" w:lineRule="auto"/>
        <w:ind w:firstLine="560" w:firstLineChars="200"/>
        <w:rPr>
          <w:rFonts w:ascii="宋体" w:hAnsi="宋体" w:cs="宋体"/>
          <w:bCs/>
          <w:color w:val="auto"/>
          <w:szCs w:val="21"/>
          <w:highlight w:val="none"/>
        </w:rPr>
      </w:pPr>
      <w:r>
        <w:rPr>
          <w:rFonts w:hint="eastAsia" w:ascii="仿宋" w:hAnsi="仿宋" w:eastAsia="仿宋" w:cs="仿宋"/>
          <w:bCs/>
          <w:color w:val="auto"/>
          <w:sz w:val="28"/>
          <w:szCs w:val="28"/>
          <w:highlight w:val="none"/>
        </w:rPr>
        <w:t>3</w:t>
      </w:r>
      <w:r>
        <w:rPr>
          <w:rFonts w:hint="eastAsia" w:ascii="仿宋" w:hAnsi="仿宋" w:eastAsia="仿宋" w:cs="仿宋"/>
          <w:bCs/>
          <w:color w:val="auto"/>
          <w:sz w:val="28"/>
          <w:szCs w:val="28"/>
          <w:highlight w:val="none"/>
          <w:lang w:val="en-US" w:eastAsia="zh-CN"/>
        </w:rPr>
        <w:t>1</w:t>
      </w:r>
      <w:r>
        <w:rPr>
          <w:rFonts w:hint="eastAsia" w:ascii="仿宋" w:hAnsi="仿宋" w:eastAsia="仿宋" w:cs="仿宋"/>
          <w:bCs/>
          <w:color w:val="auto"/>
          <w:sz w:val="28"/>
          <w:szCs w:val="28"/>
          <w:highlight w:val="none"/>
        </w:rPr>
        <w:t>.1本竞争性谈判文件的解释权属于采购人。</w:t>
      </w:r>
    </w:p>
    <w:p>
      <w:pPr>
        <w:pStyle w:val="7"/>
        <w:shd w:val="clear"/>
        <w:jc w:val="both"/>
        <w:rPr>
          <w:rFonts w:hint="eastAsia" w:ascii="仿宋_GB2312" w:hAnsi="仿宋_GB2312" w:eastAsia="仿宋_GB2312" w:cs="仿宋_GB2312"/>
          <w:b w:val="0"/>
          <w:bCs w:val="0"/>
          <w:color w:val="auto"/>
          <w:sz w:val="32"/>
          <w:szCs w:val="32"/>
          <w:highlight w:val="none"/>
          <w:lang w:val="en-US" w:eastAsia="zh-CN"/>
        </w:rPr>
      </w:pPr>
      <w:r>
        <w:rPr>
          <w:rFonts w:hint="eastAsia" w:ascii="宋体" w:hAnsi="宋体" w:cs="宋体"/>
          <w:color w:val="auto"/>
          <w:highlight w:val="none"/>
        </w:rPr>
        <w:br w:type="page"/>
      </w:r>
      <w:r>
        <w:rPr>
          <w:rFonts w:hint="eastAsia" w:ascii="仿宋_GB2312" w:hAnsi="仿宋_GB2312" w:eastAsia="仿宋_GB2312" w:cs="仿宋_GB2312"/>
          <w:b w:val="0"/>
          <w:bCs w:val="0"/>
          <w:color w:val="auto"/>
          <w:sz w:val="32"/>
          <w:szCs w:val="32"/>
          <w:highlight w:val="none"/>
          <w:lang w:eastAsia="zh-CN"/>
        </w:rPr>
        <w:t>附件</w:t>
      </w:r>
      <w:r>
        <w:rPr>
          <w:rFonts w:hint="eastAsia" w:ascii="仿宋_GB2312" w:hAnsi="仿宋_GB2312" w:eastAsia="仿宋_GB2312" w:cs="仿宋_GB2312"/>
          <w:b w:val="0"/>
          <w:bCs w:val="0"/>
          <w:color w:val="auto"/>
          <w:sz w:val="32"/>
          <w:szCs w:val="32"/>
          <w:highlight w:val="none"/>
          <w:lang w:val="en-US" w:eastAsia="zh-CN"/>
        </w:rPr>
        <w:t>6：</w:t>
      </w:r>
    </w:p>
    <w:p>
      <w:pPr>
        <w:pStyle w:val="7"/>
        <w:shd w:val="clear"/>
        <w:jc w:val="center"/>
        <w:rPr>
          <w:color w:val="auto"/>
          <w:sz w:val="32"/>
          <w:szCs w:val="32"/>
          <w:highlight w:val="none"/>
        </w:rPr>
      </w:pPr>
      <w:r>
        <w:rPr>
          <w:rFonts w:hint="eastAsia" w:ascii="方正小标宋简体" w:hAnsi="方正小标宋简体" w:eastAsia="方正小标宋简体" w:cs="方正小标宋简体"/>
          <w:b w:val="0"/>
          <w:bCs w:val="0"/>
          <w:color w:val="auto"/>
          <w:sz w:val="44"/>
          <w:szCs w:val="44"/>
          <w:highlight w:val="none"/>
        </w:rPr>
        <w:t>合同主要条款</w:t>
      </w:r>
    </w:p>
    <w:p>
      <w:pPr>
        <w:pStyle w:val="7"/>
        <w:shd w:val="clear"/>
        <w:jc w:val="center"/>
        <w:rPr>
          <w:rFonts w:hint="eastAsia" w:ascii="宋体" w:hAnsi="宋体" w:eastAsia="宋体" w:cs="宋体"/>
          <w:color w:val="auto"/>
          <w:sz w:val="24"/>
          <w:highlight w:val="none"/>
        </w:rPr>
      </w:pPr>
      <w:r>
        <w:rPr>
          <w:rFonts w:hint="eastAsia" w:ascii="宋体" w:hAnsi="宋体" w:eastAsia="宋体" w:cs="宋体"/>
          <w:color w:val="auto"/>
          <w:sz w:val="30"/>
          <w:szCs w:val="30"/>
          <w:highlight w:val="none"/>
        </w:rPr>
        <w:t>（具体合同内容由</w:t>
      </w:r>
      <w:r>
        <w:rPr>
          <w:rFonts w:hint="eastAsia" w:ascii="宋体" w:hAnsi="宋体" w:cs="宋体"/>
          <w:color w:val="auto"/>
          <w:sz w:val="30"/>
          <w:szCs w:val="30"/>
          <w:highlight w:val="none"/>
          <w:lang w:val="en-US" w:eastAsia="zh-CN"/>
        </w:rPr>
        <w:t>采购</w:t>
      </w:r>
      <w:r>
        <w:rPr>
          <w:rFonts w:hint="eastAsia" w:ascii="宋体" w:hAnsi="宋体" w:eastAsia="宋体" w:cs="宋体"/>
          <w:color w:val="auto"/>
          <w:sz w:val="30"/>
          <w:szCs w:val="30"/>
          <w:highlight w:val="none"/>
        </w:rPr>
        <w:t>人确定）</w:t>
      </w:r>
    </w:p>
    <w:p>
      <w:pPr>
        <w:pStyle w:val="71"/>
        <w:keepNext w:val="0"/>
        <w:keepLines w:val="0"/>
        <w:pageBreakBefore w:val="0"/>
        <w:widowControl w:val="0"/>
        <w:shd w:val="clear"/>
        <w:kinsoku/>
        <w:wordWrap/>
        <w:overflowPunct/>
        <w:topLinePunct w:val="0"/>
        <w:autoSpaceDE/>
        <w:autoSpaceDN/>
        <w:bidi w:val="0"/>
        <w:adjustRightInd/>
        <w:snapToGrid/>
        <w:spacing w:before="100" w:beforeLines="50" w:beforeAutospacing="1" w:after="100" w:afterLines="30" w:afterAutospacing="1" w:line="500" w:lineRule="exact"/>
        <w:textAlignment w:val="auto"/>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采购人（甲方）：</w:t>
      </w:r>
      <w:r>
        <w:rPr>
          <w:rFonts w:hint="eastAsia" w:ascii="仿宋" w:hAnsi="仿宋" w:eastAsia="仿宋" w:cs="仿宋"/>
          <w:color w:val="auto"/>
          <w:sz w:val="28"/>
          <w:szCs w:val="28"/>
          <w:highlight w:val="none"/>
          <w:u w:val="single"/>
          <w:lang w:val="en-US" w:eastAsia="zh-CN"/>
        </w:rPr>
        <w:t xml:space="preserve">                         </w:t>
      </w:r>
    </w:p>
    <w:p>
      <w:pPr>
        <w:pStyle w:val="71"/>
        <w:keepNext w:val="0"/>
        <w:keepLines w:val="0"/>
        <w:pageBreakBefore w:val="0"/>
        <w:widowControl w:val="0"/>
        <w:shd w:val="clear"/>
        <w:kinsoku/>
        <w:wordWrap/>
        <w:overflowPunct/>
        <w:topLinePunct w:val="0"/>
        <w:autoSpaceDE/>
        <w:autoSpaceDN/>
        <w:bidi w:val="0"/>
        <w:adjustRightInd/>
        <w:snapToGrid/>
        <w:spacing w:before="100" w:beforeLines="50" w:beforeAutospacing="1" w:after="100" w:afterLines="30" w:afterAutospacing="1" w:line="500" w:lineRule="exact"/>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（乙方）：</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pPr>
        <w:pStyle w:val="71"/>
        <w:keepNext w:val="0"/>
        <w:keepLines w:val="0"/>
        <w:pageBreakBefore w:val="0"/>
        <w:widowControl w:val="0"/>
        <w:shd w:val="clear"/>
        <w:kinsoku/>
        <w:wordWrap/>
        <w:overflowPunct/>
        <w:topLinePunct w:val="0"/>
        <w:autoSpaceDE/>
        <w:autoSpaceDN/>
        <w:bidi w:val="0"/>
        <w:adjustRightInd/>
        <w:snapToGrid/>
        <w:spacing w:before="100" w:beforeLines="50" w:beforeAutospacing="1" w:after="100" w:afterLines="30" w:afterAutospacing="1" w:line="500" w:lineRule="exact"/>
        <w:textAlignment w:val="auto"/>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u w:val="single"/>
          <w:lang w:val="en-US" w:eastAsia="zh-CN"/>
        </w:rPr>
        <w:t xml:space="preserve">                          </w:t>
      </w:r>
    </w:p>
    <w:p>
      <w:pPr>
        <w:pStyle w:val="71"/>
        <w:keepNext w:val="0"/>
        <w:keepLines w:val="0"/>
        <w:pageBreakBefore w:val="0"/>
        <w:widowControl w:val="0"/>
        <w:shd w:val="clear"/>
        <w:kinsoku/>
        <w:wordWrap/>
        <w:overflowPunct/>
        <w:topLinePunct w:val="0"/>
        <w:autoSpaceDE/>
        <w:autoSpaceDN/>
        <w:bidi w:val="0"/>
        <w:adjustRightInd/>
        <w:snapToGrid/>
        <w:spacing w:before="100" w:beforeLines="50" w:beforeAutospacing="1" w:after="100" w:afterLines="30" w:afterAutospacing="1"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项目编号：</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pPr>
        <w:pStyle w:val="71"/>
        <w:keepNext w:val="0"/>
        <w:keepLines w:val="0"/>
        <w:pageBreakBefore w:val="0"/>
        <w:widowControl w:val="0"/>
        <w:shd w:val="clear"/>
        <w:kinsoku/>
        <w:wordWrap/>
        <w:overflowPunct/>
        <w:topLinePunct w:val="0"/>
        <w:autoSpaceDE/>
        <w:autoSpaceDN/>
        <w:bidi w:val="0"/>
        <w:adjustRightInd/>
        <w:snapToGrid/>
        <w:spacing w:before="100" w:beforeLines="50" w:beforeAutospacing="1" w:after="100" w:afterLines="30" w:afterAutospacing="1" w:line="500" w:lineRule="exact"/>
        <w:textAlignment w:val="auto"/>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签定日期：</w:t>
      </w:r>
      <w:r>
        <w:rPr>
          <w:rFonts w:hint="eastAsia" w:ascii="仿宋" w:hAnsi="仿宋" w:eastAsia="仿宋" w:cs="仿宋"/>
          <w:color w:val="auto"/>
          <w:sz w:val="28"/>
          <w:szCs w:val="28"/>
          <w:highlight w:val="none"/>
          <w:u w:val="single"/>
          <w:lang w:val="en-US" w:eastAsia="zh-CN"/>
        </w:rPr>
        <w:t xml:space="preserve">                     </w:t>
      </w:r>
    </w:p>
    <w:p>
      <w:pPr>
        <w:pStyle w:val="71"/>
        <w:keepNext w:val="0"/>
        <w:keepLines w:val="0"/>
        <w:pageBreakBefore w:val="0"/>
        <w:widowControl w:val="0"/>
        <w:shd w:val="clear"/>
        <w:kinsoku/>
        <w:wordWrap/>
        <w:overflowPunct/>
        <w:topLinePunct w:val="0"/>
        <w:autoSpaceDE/>
        <w:autoSpaceDN/>
        <w:bidi w:val="0"/>
        <w:adjustRightInd/>
        <w:snapToGrid/>
        <w:spacing w:before="100" w:beforeLines="50" w:beforeAutospacing="1" w:after="100" w:afterLines="30" w:afterAutospacing="1"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签订地点：</w:t>
      </w:r>
      <w:r>
        <w:rPr>
          <w:rFonts w:hint="eastAsia" w:ascii="仿宋" w:hAnsi="仿宋" w:eastAsia="仿宋" w:cs="仿宋"/>
          <w:color w:val="auto"/>
          <w:sz w:val="28"/>
          <w:szCs w:val="28"/>
          <w:highlight w:val="none"/>
          <w:u w:val="single"/>
        </w:rPr>
        <w:t xml:space="preserve">                          </w:t>
      </w:r>
    </w:p>
    <w:p>
      <w:pPr>
        <w:keepNext w:val="0"/>
        <w:keepLines w:val="0"/>
        <w:pageBreakBefore w:val="0"/>
        <w:widowControl w:val="0"/>
        <w:shd w:val="clear"/>
        <w:tabs>
          <w:tab w:val="left" w:pos="540"/>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根据甲方采购</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（项目名称）</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进行招标采购的招标结果，乙方为本项目的中标人，现依照招标文件、投标文件内容，双方达成如下协议，并共同遵照执行：</w:t>
      </w:r>
    </w:p>
    <w:p>
      <w:pPr>
        <w:keepNext w:val="0"/>
        <w:keepLines w:val="0"/>
        <w:pageBreakBefore w:val="0"/>
        <w:widowControl w:val="0"/>
        <w:numPr>
          <w:ilvl w:val="0"/>
          <w:numId w:val="2"/>
        </w:numPr>
        <w:shd w:val="clear"/>
        <w:tabs>
          <w:tab w:val="left" w:pos="480"/>
          <w:tab w:val="left" w:pos="540"/>
        </w:tabs>
        <w:kinsoku/>
        <w:wordWrap/>
        <w:overflowPunct/>
        <w:topLinePunct w:val="0"/>
        <w:autoSpaceDE/>
        <w:autoSpaceDN/>
        <w:bidi w:val="0"/>
        <w:adjustRightInd/>
        <w:snapToGrid/>
        <w:spacing w:line="50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服务</w:t>
      </w:r>
      <w:r>
        <w:rPr>
          <w:rFonts w:hint="eastAsia" w:ascii="仿宋" w:hAnsi="仿宋" w:eastAsia="仿宋" w:cs="仿宋"/>
          <w:b/>
          <w:color w:val="auto"/>
          <w:sz w:val="28"/>
          <w:szCs w:val="28"/>
          <w:highlight w:val="none"/>
          <w:lang w:eastAsia="zh-CN"/>
        </w:rPr>
        <w:t xml:space="preserve">名称 </w:t>
      </w:r>
    </w:p>
    <w:tbl>
      <w:tblPr>
        <w:tblStyle w:val="51"/>
        <w:tblW w:w="0" w:type="auto"/>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3980"/>
        <w:gridCol w:w="1946"/>
        <w:gridCol w:w="1661"/>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94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398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服务</w:t>
            </w:r>
            <w:r>
              <w:rPr>
                <w:rFonts w:hint="eastAsia" w:ascii="仿宋" w:hAnsi="仿宋" w:eastAsia="仿宋" w:cs="仿宋"/>
                <w:color w:val="auto"/>
                <w:sz w:val="28"/>
                <w:szCs w:val="28"/>
                <w:highlight w:val="none"/>
              </w:rPr>
              <w:t>名称</w:t>
            </w:r>
          </w:p>
        </w:tc>
        <w:tc>
          <w:tcPr>
            <w:tcW w:w="1946"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500" w:lineRule="exact"/>
              <w:ind w:firstLine="140" w:firstLineChars="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金额</w:t>
            </w:r>
          </w:p>
        </w:tc>
        <w:tc>
          <w:tcPr>
            <w:tcW w:w="166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服务</w:t>
            </w:r>
            <w:r>
              <w:rPr>
                <w:rFonts w:hint="eastAsia" w:ascii="仿宋" w:hAnsi="仿宋" w:eastAsia="仿宋" w:cs="仿宋"/>
                <w:color w:val="auto"/>
                <w:sz w:val="28"/>
                <w:szCs w:val="28"/>
                <w:highlight w:val="none"/>
              </w:rPr>
              <w:t xml:space="preserve">期    </w:t>
            </w:r>
          </w:p>
        </w:tc>
        <w:tc>
          <w:tcPr>
            <w:tcW w:w="963"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500" w:lineRule="exact"/>
              <w:ind w:firstLine="140" w:firstLineChars="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4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500" w:lineRule="exact"/>
              <w:ind w:left="359" w:leftChars="171" w:firstLine="560" w:firstLineChars="200"/>
              <w:jc w:val="center"/>
              <w:textAlignment w:val="auto"/>
              <w:rPr>
                <w:rFonts w:hint="eastAsia" w:ascii="仿宋" w:hAnsi="仿宋" w:eastAsia="仿宋" w:cs="仿宋"/>
                <w:color w:val="auto"/>
                <w:sz w:val="28"/>
                <w:szCs w:val="28"/>
                <w:highlight w:val="none"/>
              </w:rPr>
            </w:pPr>
          </w:p>
        </w:tc>
        <w:tc>
          <w:tcPr>
            <w:tcW w:w="398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500" w:lineRule="exact"/>
              <w:ind w:left="359" w:leftChars="171" w:firstLine="560" w:firstLineChars="200"/>
              <w:jc w:val="center"/>
              <w:textAlignment w:val="auto"/>
              <w:rPr>
                <w:rFonts w:hint="eastAsia" w:ascii="仿宋" w:hAnsi="仿宋" w:eastAsia="仿宋" w:cs="仿宋"/>
                <w:color w:val="auto"/>
                <w:sz w:val="28"/>
                <w:szCs w:val="28"/>
                <w:highlight w:val="none"/>
              </w:rPr>
            </w:pPr>
          </w:p>
        </w:tc>
        <w:tc>
          <w:tcPr>
            <w:tcW w:w="1946"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500" w:lineRule="exact"/>
              <w:ind w:left="359" w:leftChars="171" w:firstLine="560" w:firstLineChars="200"/>
              <w:jc w:val="center"/>
              <w:textAlignment w:val="auto"/>
              <w:rPr>
                <w:rFonts w:hint="eastAsia" w:ascii="仿宋" w:hAnsi="仿宋" w:eastAsia="仿宋" w:cs="仿宋"/>
                <w:color w:val="auto"/>
                <w:sz w:val="28"/>
                <w:szCs w:val="28"/>
                <w:highlight w:val="none"/>
              </w:rPr>
            </w:pPr>
          </w:p>
        </w:tc>
        <w:tc>
          <w:tcPr>
            <w:tcW w:w="166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500" w:lineRule="exact"/>
              <w:ind w:left="359" w:leftChars="171" w:firstLine="560" w:firstLineChars="200"/>
              <w:jc w:val="center"/>
              <w:textAlignment w:val="auto"/>
              <w:rPr>
                <w:rFonts w:hint="eastAsia" w:ascii="仿宋" w:hAnsi="仿宋" w:eastAsia="仿宋" w:cs="仿宋"/>
                <w:color w:val="auto"/>
                <w:sz w:val="28"/>
                <w:szCs w:val="28"/>
                <w:highlight w:val="none"/>
              </w:rPr>
            </w:pPr>
          </w:p>
        </w:tc>
        <w:tc>
          <w:tcPr>
            <w:tcW w:w="963" w:type="dxa"/>
            <w:vMerge w:val="restart"/>
            <w:noWrap w:val="0"/>
            <w:vAlign w:val="center"/>
          </w:tcPr>
          <w:p>
            <w:pPr>
              <w:keepNext w:val="0"/>
              <w:keepLines w:val="0"/>
              <w:pageBreakBefore w:val="0"/>
              <w:widowControl w:val="0"/>
              <w:shd w:val="clear"/>
              <w:kinsoku/>
              <w:wordWrap/>
              <w:overflowPunct/>
              <w:topLinePunct w:val="0"/>
              <w:autoSpaceDE/>
              <w:autoSpaceDN/>
              <w:bidi w:val="0"/>
              <w:adjustRightInd/>
              <w:snapToGrid/>
              <w:spacing w:line="500" w:lineRule="exact"/>
              <w:ind w:left="359" w:leftChars="171" w:firstLine="560" w:firstLineChars="200"/>
              <w:jc w:val="left"/>
              <w:textAlignment w:val="auto"/>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4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500" w:lineRule="exact"/>
              <w:ind w:left="359" w:leftChars="171" w:firstLine="560" w:firstLineChars="200"/>
              <w:jc w:val="center"/>
              <w:textAlignment w:val="auto"/>
              <w:rPr>
                <w:rFonts w:hint="eastAsia" w:ascii="仿宋" w:hAnsi="仿宋" w:eastAsia="仿宋" w:cs="仿宋"/>
                <w:color w:val="auto"/>
                <w:sz w:val="28"/>
                <w:szCs w:val="28"/>
                <w:highlight w:val="none"/>
              </w:rPr>
            </w:pPr>
          </w:p>
        </w:tc>
        <w:tc>
          <w:tcPr>
            <w:tcW w:w="398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500" w:lineRule="exact"/>
              <w:ind w:left="359" w:leftChars="171" w:firstLine="560" w:firstLineChars="200"/>
              <w:jc w:val="center"/>
              <w:textAlignment w:val="auto"/>
              <w:rPr>
                <w:rFonts w:hint="eastAsia" w:ascii="仿宋" w:hAnsi="仿宋" w:eastAsia="仿宋" w:cs="仿宋"/>
                <w:color w:val="auto"/>
                <w:sz w:val="28"/>
                <w:szCs w:val="28"/>
                <w:highlight w:val="none"/>
              </w:rPr>
            </w:pPr>
          </w:p>
        </w:tc>
        <w:tc>
          <w:tcPr>
            <w:tcW w:w="1946"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500" w:lineRule="exact"/>
              <w:ind w:left="359" w:leftChars="171" w:firstLine="560" w:firstLineChars="200"/>
              <w:jc w:val="center"/>
              <w:textAlignment w:val="auto"/>
              <w:rPr>
                <w:rFonts w:hint="eastAsia" w:ascii="仿宋" w:hAnsi="仿宋" w:eastAsia="仿宋" w:cs="仿宋"/>
                <w:color w:val="auto"/>
                <w:sz w:val="28"/>
                <w:szCs w:val="28"/>
                <w:highlight w:val="none"/>
              </w:rPr>
            </w:pPr>
          </w:p>
        </w:tc>
        <w:tc>
          <w:tcPr>
            <w:tcW w:w="166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500" w:lineRule="exact"/>
              <w:ind w:left="359" w:leftChars="171" w:firstLine="560" w:firstLineChars="200"/>
              <w:jc w:val="center"/>
              <w:textAlignment w:val="auto"/>
              <w:rPr>
                <w:rFonts w:hint="eastAsia" w:ascii="仿宋" w:hAnsi="仿宋" w:eastAsia="仿宋" w:cs="仿宋"/>
                <w:color w:val="auto"/>
                <w:sz w:val="28"/>
                <w:szCs w:val="28"/>
                <w:highlight w:val="none"/>
              </w:rPr>
            </w:pPr>
          </w:p>
        </w:tc>
        <w:tc>
          <w:tcPr>
            <w:tcW w:w="963"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500" w:lineRule="exact"/>
              <w:ind w:left="359" w:leftChars="171" w:firstLine="560" w:firstLineChars="200"/>
              <w:jc w:val="center"/>
              <w:textAlignment w:val="auto"/>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4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500" w:lineRule="exact"/>
              <w:ind w:left="359" w:leftChars="171" w:firstLine="560" w:firstLineChars="200"/>
              <w:jc w:val="center"/>
              <w:textAlignment w:val="auto"/>
              <w:rPr>
                <w:rFonts w:hint="eastAsia" w:ascii="仿宋" w:hAnsi="仿宋" w:eastAsia="仿宋" w:cs="仿宋"/>
                <w:color w:val="auto"/>
                <w:sz w:val="28"/>
                <w:szCs w:val="28"/>
                <w:highlight w:val="none"/>
              </w:rPr>
            </w:pPr>
          </w:p>
        </w:tc>
        <w:tc>
          <w:tcPr>
            <w:tcW w:w="398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500" w:lineRule="exact"/>
              <w:ind w:left="359" w:leftChars="171" w:firstLine="560" w:firstLineChars="200"/>
              <w:jc w:val="center"/>
              <w:textAlignment w:val="auto"/>
              <w:rPr>
                <w:rFonts w:hint="eastAsia" w:ascii="仿宋" w:hAnsi="仿宋" w:eastAsia="仿宋" w:cs="仿宋"/>
                <w:color w:val="auto"/>
                <w:sz w:val="28"/>
                <w:szCs w:val="28"/>
                <w:highlight w:val="none"/>
              </w:rPr>
            </w:pPr>
          </w:p>
        </w:tc>
        <w:tc>
          <w:tcPr>
            <w:tcW w:w="1946"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500" w:lineRule="exact"/>
              <w:ind w:left="359" w:leftChars="171" w:firstLine="560" w:firstLineChars="200"/>
              <w:jc w:val="center"/>
              <w:textAlignment w:val="auto"/>
              <w:rPr>
                <w:rFonts w:hint="eastAsia" w:ascii="仿宋" w:hAnsi="仿宋" w:eastAsia="仿宋" w:cs="仿宋"/>
                <w:color w:val="auto"/>
                <w:sz w:val="28"/>
                <w:szCs w:val="28"/>
                <w:highlight w:val="none"/>
              </w:rPr>
            </w:pPr>
          </w:p>
        </w:tc>
        <w:tc>
          <w:tcPr>
            <w:tcW w:w="166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500" w:lineRule="exact"/>
              <w:ind w:left="359" w:leftChars="171" w:firstLine="560" w:firstLineChars="200"/>
              <w:jc w:val="center"/>
              <w:textAlignment w:val="auto"/>
              <w:rPr>
                <w:rFonts w:hint="eastAsia" w:ascii="仿宋" w:hAnsi="仿宋" w:eastAsia="仿宋" w:cs="仿宋"/>
                <w:color w:val="auto"/>
                <w:sz w:val="28"/>
                <w:szCs w:val="28"/>
                <w:highlight w:val="none"/>
              </w:rPr>
            </w:pPr>
          </w:p>
        </w:tc>
        <w:tc>
          <w:tcPr>
            <w:tcW w:w="963"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500" w:lineRule="exact"/>
              <w:ind w:left="359" w:leftChars="171" w:firstLine="560" w:firstLineChars="200"/>
              <w:jc w:val="center"/>
              <w:textAlignment w:val="auto"/>
              <w:rPr>
                <w:rFonts w:hint="eastAsia" w:ascii="仿宋" w:hAnsi="仿宋" w:eastAsia="仿宋" w:cs="仿宋"/>
                <w:color w:val="auto"/>
                <w:sz w:val="28"/>
                <w:szCs w:val="28"/>
                <w:highlight w:val="none"/>
              </w:rPr>
            </w:pPr>
          </w:p>
        </w:tc>
      </w:tr>
    </w:tbl>
    <w:p>
      <w:pPr>
        <w:keepNext w:val="0"/>
        <w:keepLines w:val="0"/>
        <w:pageBreakBefore w:val="0"/>
        <w:widowControl w:val="0"/>
        <w:numPr>
          <w:ilvl w:val="0"/>
          <w:numId w:val="2"/>
        </w:numPr>
        <w:shd w:val="clear"/>
        <w:tabs>
          <w:tab w:val="left" w:pos="480"/>
          <w:tab w:val="left" w:pos="540"/>
        </w:tabs>
        <w:kinsoku/>
        <w:wordWrap/>
        <w:overflowPunct/>
        <w:topLinePunct w:val="0"/>
        <w:autoSpaceDE/>
        <w:autoSpaceDN/>
        <w:bidi w:val="0"/>
        <w:adjustRightInd/>
        <w:snapToGrid/>
        <w:spacing w:line="50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甲方权利与义务</w:t>
      </w:r>
    </w:p>
    <w:p>
      <w:pPr>
        <w:keepNext w:val="0"/>
        <w:keepLines w:val="0"/>
        <w:pageBreakBefore w:val="0"/>
        <w:widowControl w:val="0"/>
        <w:shd w:val="clear"/>
        <w:tabs>
          <w:tab w:val="left" w:pos="540"/>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1.甲方按本合同约定，根据乙方要求提供相关的项目资料给乙方在项目推进工作中使用。</w:t>
      </w:r>
    </w:p>
    <w:p>
      <w:pPr>
        <w:keepNext w:val="0"/>
        <w:keepLines w:val="0"/>
        <w:pageBreakBefore w:val="0"/>
        <w:widowControl w:val="0"/>
        <w:shd w:val="clear"/>
        <w:tabs>
          <w:tab w:val="left" w:pos="540"/>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2.甲方应指定相应的项目负责人与乙方进行沟通，并协助乙方开发实施。</w:t>
      </w:r>
    </w:p>
    <w:p>
      <w:pPr>
        <w:keepNext w:val="0"/>
        <w:keepLines w:val="0"/>
        <w:pageBreakBefore w:val="0"/>
        <w:widowControl w:val="0"/>
        <w:shd w:val="clear"/>
        <w:tabs>
          <w:tab w:val="left" w:pos="540"/>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3.在合同履行期间，非因乙方原因，如果甲方要求终止合同，或者非因乙方原因导致合同无法实际履行，甲方应根据已进行的实际工作量及已进行并通过的实际工作量支付费用。</w:t>
      </w:r>
    </w:p>
    <w:p>
      <w:pPr>
        <w:keepNext w:val="0"/>
        <w:keepLines w:val="0"/>
        <w:pageBreakBefore w:val="0"/>
        <w:widowControl w:val="0"/>
        <w:shd w:val="clear"/>
        <w:tabs>
          <w:tab w:val="left" w:pos="540"/>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4.甲方有权在合同规定范围内对乙方的行为进行监督和检查，拥有监管权。甲方有权对认为不合理的部分下达整改通知书，并要求乙方限期整改。</w:t>
      </w:r>
    </w:p>
    <w:p>
      <w:pPr>
        <w:keepNext w:val="0"/>
        <w:keepLines w:val="0"/>
        <w:pageBreakBefore w:val="0"/>
        <w:widowControl w:val="0"/>
        <w:shd w:val="clear"/>
        <w:tabs>
          <w:tab w:val="left" w:pos="540"/>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5.根据本合同约定，按时向乙方支付应付费用。</w:t>
      </w:r>
    </w:p>
    <w:p>
      <w:pPr>
        <w:keepNext w:val="0"/>
        <w:keepLines w:val="0"/>
        <w:pageBreakBefore w:val="0"/>
        <w:widowControl w:val="0"/>
        <w:shd w:val="clear"/>
        <w:tabs>
          <w:tab w:val="left" w:pos="540"/>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6国家法律、法规所规定由甲方承担的其他责任。</w:t>
      </w:r>
    </w:p>
    <w:p>
      <w:pPr>
        <w:keepNext w:val="0"/>
        <w:keepLines w:val="0"/>
        <w:pageBreakBefore w:val="0"/>
        <w:widowControl w:val="0"/>
        <w:numPr>
          <w:ilvl w:val="0"/>
          <w:numId w:val="2"/>
        </w:numPr>
        <w:shd w:val="clear"/>
        <w:tabs>
          <w:tab w:val="left" w:pos="480"/>
          <w:tab w:val="left" w:pos="540"/>
        </w:tabs>
        <w:kinsoku/>
        <w:wordWrap/>
        <w:overflowPunct/>
        <w:topLinePunct w:val="0"/>
        <w:autoSpaceDE/>
        <w:autoSpaceDN/>
        <w:bidi w:val="0"/>
        <w:adjustRightInd/>
        <w:snapToGrid/>
        <w:spacing w:line="50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乙方权利与义务</w:t>
      </w:r>
    </w:p>
    <w:p>
      <w:pPr>
        <w:keepNext w:val="0"/>
        <w:keepLines w:val="0"/>
        <w:pageBreakBefore w:val="0"/>
        <w:widowControl w:val="0"/>
        <w:shd w:val="clear"/>
        <w:tabs>
          <w:tab w:val="left" w:pos="540"/>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1.乙方对本合同约定的委托的项目享有管理权及服务义务。</w:t>
      </w:r>
    </w:p>
    <w:p>
      <w:pPr>
        <w:keepNext w:val="0"/>
        <w:keepLines w:val="0"/>
        <w:pageBreakBefore w:val="0"/>
        <w:widowControl w:val="0"/>
        <w:shd w:val="clear"/>
        <w:tabs>
          <w:tab w:val="left" w:pos="540"/>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2.乙方应按国家规定、招投标文件以及本合同约定的技术规范、标准以及甲方的相关要求完成本项目工作，乙方应对提交工作成果的科学性、合理性、可行性负责。</w:t>
      </w:r>
    </w:p>
    <w:p>
      <w:pPr>
        <w:keepNext w:val="0"/>
        <w:keepLines w:val="0"/>
        <w:pageBreakBefore w:val="0"/>
        <w:widowControl w:val="0"/>
        <w:shd w:val="clear"/>
        <w:tabs>
          <w:tab w:val="left" w:pos="540"/>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3.乙方在合同期内如有需要变更的事项，须征得甲方书面同意后方可进行变更。</w:t>
      </w:r>
    </w:p>
    <w:p>
      <w:pPr>
        <w:keepNext w:val="0"/>
        <w:keepLines w:val="0"/>
        <w:pageBreakBefore w:val="0"/>
        <w:widowControl w:val="0"/>
        <w:shd w:val="clear"/>
        <w:tabs>
          <w:tab w:val="left" w:pos="540"/>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4.乙方要妥善保管好甲方的项目资料，不得向第三方泄露有关项目内容和资料。</w:t>
      </w:r>
    </w:p>
    <w:p>
      <w:pPr>
        <w:keepNext w:val="0"/>
        <w:keepLines w:val="0"/>
        <w:pageBreakBefore w:val="0"/>
        <w:widowControl w:val="0"/>
        <w:shd w:val="clear"/>
        <w:tabs>
          <w:tab w:val="left" w:pos="540"/>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5.乙方应按照招标文件规定按时完成各项进度，且每一个进度完成后都应提供相应的书面工作报告供甲方审核。</w:t>
      </w:r>
    </w:p>
    <w:p>
      <w:pPr>
        <w:keepNext w:val="0"/>
        <w:keepLines w:val="0"/>
        <w:pageBreakBefore w:val="0"/>
        <w:widowControl w:val="0"/>
        <w:shd w:val="clear"/>
        <w:tabs>
          <w:tab w:val="left" w:pos="540"/>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6.乙方保证其向甲方提供的货物不存在任何侵犯第三方著作权、商标权、专利权等合法权益的情形，否则乙方应赔偿因此给甲方造成的全部损失。</w:t>
      </w:r>
    </w:p>
    <w:p>
      <w:pPr>
        <w:keepNext w:val="0"/>
        <w:keepLines w:val="0"/>
        <w:pageBreakBefore w:val="0"/>
        <w:widowControl w:val="0"/>
        <w:numPr>
          <w:ilvl w:val="0"/>
          <w:numId w:val="2"/>
        </w:numPr>
        <w:shd w:val="clear"/>
        <w:tabs>
          <w:tab w:val="left" w:pos="480"/>
          <w:tab w:val="left" w:pos="540"/>
        </w:tabs>
        <w:kinsoku/>
        <w:wordWrap/>
        <w:overflowPunct/>
        <w:topLinePunct w:val="0"/>
        <w:autoSpaceDE/>
        <w:autoSpaceDN/>
        <w:bidi w:val="0"/>
        <w:adjustRightInd/>
        <w:snapToGrid/>
        <w:spacing w:line="50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服务</w:t>
      </w:r>
      <w:r>
        <w:rPr>
          <w:rFonts w:hint="eastAsia" w:ascii="仿宋" w:hAnsi="仿宋" w:eastAsia="仿宋" w:cs="仿宋"/>
          <w:b/>
          <w:color w:val="auto"/>
          <w:sz w:val="28"/>
          <w:szCs w:val="28"/>
          <w:highlight w:val="none"/>
        </w:rPr>
        <w:t>时间、地点</w:t>
      </w:r>
    </w:p>
    <w:p>
      <w:pPr>
        <w:keepNext w:val="0"/>
        <w:keepLines w:val="0"/>
        <w:pageBreakBefore w:val="0"/>
        <w:widowControl w:val="0"/>
        <w:shd w:val="clear"/>
        <w:tabs>
          <w:tab w:val="left" w:pos="540"/>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服务</w:t>
      </w:r>
      <w:r>
        <w:rPr>
          <w:rFonts w:hint="eastAsia" w:ascii="仿宋" w:hAnsi="仿宋" w:eastAsia="仿宋" w:cs="仿宋"/>
          <w:color w:val="auto"/>
          <w:sz w:val="28"/>
          <w:szCs w:val="28"/>
          <w:highlight w:val="none"/>
        </w:rPr>
        <w:t>时间：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pPr>
        <w:keepNext w:val="0"/>
        <w:keepLines w:val="0"/>
        <w:pageBreakBefore w:val="0"/>
        <w:widowControl w:val="0"/>
        <w:shd w:val="clear"/>
        <w:tabs>
          <w:tab w:val="left" w:pos="540"/>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服务</w:t>
      </w:r>
      <w:r>
        <w:rPr>
          <w:rFonts w:hint="eastAsia" w:ascii="仿宋" w:hAnsi="仿宋" w:eastAsia="仿宋" w:cs="仿宋"/>
          <w:color w:val="auto"/>
          <w:sz w:val="28"/>
          <w:szCs w:val="28"/>
          <w:highlight w:val="none"/>
        </w:rPr>
        <w:t>地点：</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pPr>
        <w:keepNext w:val="0"/>
        <w:keepLines w:val="0"/>
        <w:pageBreakBefore w:val="0"/>
        <w:widowControl w:val="0"/>
        <w:numPr>
          <w:ilvl w:val="0"/>
          <w:numId w:val="2"/>
        </w:numPr>
        <w:shd w:val="clear"/>
        <w:tabs>
          <w:tab w:val="left" w:pos="480"/>
          <w:tab w:val="left" w:pos="540"/>
        </w:tabs>
        <w:kinsoku/>
        <w:wordWrap/>
        <w:overflowPunct/>
        <w:topLinePunct w:val="0"/>
        <w:autoSpaceDE/>
        <w:autoSpaceDN/>
        <w:bidi w:val="0"/>
        <w:adjustRightInd/>
        <w:snapToGrid/>
        <w:spacing w:line="50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合同验收</w:t>
      </w:r>
    </w:p>
    <w:p>
      <w:pPr>
        <w:keepNext w:val="0"/>
        <w:keepLines w:val="0"/>
        <w:pageBreakBefore w:val="0"/>
        <w:widowControl w:val="0"/>
        <w:shd w:val="clear"/>
        <w:tabs>
          <w:tab w:val="left" w:pos="540"/>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在项目完成后，由乙方书面向甲方申请验收，并按照甲方要求准备好验收材料，甲方在收到验收申请后组织验收，验收合格后由甲方出具验收合格证明，如验收未通过，由甲方提出书面整改意见，乙方根据整改意见完成整改直至通过验收，乙方应承担因整改而延期给甲方造成的全部经济损失。</w:t>
      </w:r>
    </w:p>
    <w:p>
      <w:pPr>
        <w:keepNext w:val="0"/>
        <w:keepLines w:val="0"/>
        <w:pageBreakBefore w:val="0"/>
        <w:widowControl w:val="0"/>
        <w:shd w:val="clear"/>
        <w:tabs>
          <w:tab w:val="left" w:pos="540"/>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2.验收由甲方组织进行，验收相关费用由乙方承担。</w:t>
      </w:r>
    </w:p>
    <w:p>
      <w:pPr>
        <w:keepNext w:val="0"/>
        <w:keepLines w:val="0"/>
        <w:pageBreakBefore w:val="0"/>
        <w:widowControl w:val="0"/>
        <w:numPr>
          <w:ilvl w:val="0"/>
          <w:numId w:val="2"/>
        </w:numPr>
        <w:shd w:val="clear"/>
        <w:tabs>
          <w:tab w:val="left" w:pos="480"/>
          <w:tab w:val="left" w:pos="540"/>
        </w:tabs>
        <w:kinsoku/>
        <w:wordWrap/>
        <w:overflowPunct/>
        <w:topLinePunct w:val="0"/>
        <w:autoSpaceDE/>
        <w:autoSpaceDN/>
        <w:bidi w:val="0"/>
        <w:adjustRightInd/>
        <w:snapToGrid/>
        <w:spacing w:line="50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合同价格</w:t>
      </w:r>
    </w:p>
    <w:p>
      <w:pPr>
        <w:pStyle w:val="28"/>
        <w:keepNext w:val="0"/>
        <w:keepLines w:val="0"/>
        <w:pageBreakBefore w:val="0"/>
        <w:widowControl w:val="0"/>
        <w:shd w:val="clear"/>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合同总价</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大写</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（人民币）(￥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pPr>
        <w:keepNext w:val="0"/>
        <w:keepLines w:val="0"/>
        <w:pageBreakBefore w:val="0"/>
        <w:widowControl w:val="0"/>
        <w:numPr>
          <w:ilvl w:val="0"/>
          <w:numId w:val="2"/>
        </w:numPr>
        <w:shd w:val="clear"/>
        <w:tabs>
          <w:tab w:val="left" w:pos="480"/>
          <w:tab w:val="left" w:pos="540"/>
        </w:tabs>
        <w:kinsoku/>
        <w:wordWrap/>
        <w:overflowPunct/>
        <w:topLinePunct w:val="0"/>
        <w:autoSpaceDE/>
        <w:autoSpaceDN/>
        <w:bidi w:val="0"/>
        <w:adjustRightInd/>
        <w:snapToGrid/>
        <w:spacing w:line="50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付款方式：</w:t>
      </w:r>
    </w:p>
    <w:p>
      <w:pPr>
        <w:pStyle w:val="28"/>
        <w:keepNext w:val="0"/>
        <w:keepLines w:val="0"/>
        <w:pageBreakBefore w:val="0"/>
        <w:widowControl w:val="0"/>
        <w:shd w:val="clear"/>
        <w:kinsoku/>
        <w:wordWrap/>
        <w:overflowPunct/>
        <w:topLinePunct w:val="0"/>
        <w:autoSpaceDE/>
        <w:autoSpaceDN/>
        <w:bidi w:val="0"/>
        <w:adjustRightInd/>
        <w:snapToGrid/>
        <w:spacing w:line="500" w:lineRule="exact"/>
        <w:ind w:firstLine="48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付款方式：</w:t>
      </w:r>
      <w:r>
        <w:rPr>
          <w:rFonts w:hint="eastAsia" w:ascii="仿宋" w:hAnsi="仿宋" w:eastAsia="仿宋" w:cs="仿宋"/>
          <w:color w:val="auto"/>
          <w:sz w:val="28"/>
          <w:szCs w:val="28"/>
          <w:highlight w:val="none"/>
          <w:lang w:val="en-US" w:eastAsia="zh-CN"/>
        </w:rPr>
        <w:t>按合同支付。</w:t>
      </w:r>
    </w:p>
    <w:p>
      <w:pPr>
        <w:keepNext w:val="0"/>
        <w:keepLines w:val="0"/>
        <w:pageBreakBefore w:val="0"/>
        <w:widowControl w:val="0"/>
        <w:numPr>
          <w:ilvl w:val="0"/>
          <w:numId w:val="2"/>
        </w:numPr>
        <w:shd w:val="clear"/>
        <w:tabs>
          <w:tab w:val="left" w:pos="480"/>
          <w:tab w:val="left" w:pos="540"/>
        </w:tabs>
        <w:kinsoku/>
        <w:wordWrap/>
        <w:overflowPunct/>
        <w:topLinePunct w:val="0"/>
        <w:autoSpaceDE/>
        <w:autoSpaceDN/>
        <w:bidi w:val="0"/>
        <w:adjustRightInd/>
        <w:snapToGrid/>
        <w:spacing w:line="50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异议索赔</w:t>
      </w:r>
    </w:p>
    <w:p>
      <w:pPr>
        <w:keepNext w:val="0"/>
        <w:keepLines w:val="0"/>
        <w:pageBreakBefore w:val="0"/>
        <w:widowControl w:val="0"/>
        <w:shd w:val="clear"/>
        <w:tabs>
          <w:tab w:val="left" w:pos="540"/>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1.合同签订后，若发生一方无故终止合同，终止方必须向对方支付本合同授权使用费20%的违约金。</w:t>
      </w:r>
    </w:p>
    <w:p>
      <w:pPr>
        <w:keepNext w:val="0"/>
        <w:keepLines w:val="0"/>
        <w:pageBreakBefore w:val="0"/>
        <w:widowControl w:val="0"/>
        <w:shd w:val="clear"/>
        <w:tabs>
          <w:tab w:val="left" w:pos="540"/>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2.乙方对于所提供的服务与合同要求不符合，乙方承担由此发生的一切经济损失和费用。</w:t>
      </w:r>
    </w:p>
    <w:p>
      <w:pPr>
        <w:keepNext w:val="0"/>
        <w:keepLines w:val="0"/>
        <w:pageBreakBefore w:val="0"/>
        <w:widowControl w:val="0"/>
        <w:shd w:val="clear"/>
        <w:tabs>
          <w:tab w:val="left" w:pos="540"/>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甲方不得将源码复制、传播、出售或许可给第三方使用或者在实际使用软件的过程中，未经乙方书面许可，出售、披露任何归乙方所有的文档资料实施违法行为或者获取商业利益而给乙方造成损失的，乙方有权解除合同，由此造成的全部损失由甲方承担。</w:t>
      </w:r>
    </w:p>
    <w:p>
      <w:pPr>
        <w:keepNext w:val="0"/>
        <w:keepLines w:val="0"/>
        <w:pageBreakBefore w:val="0"/>
        <w:widowControl w:val="0"/>
        <w:shd w:val="clear"/>
        <w:tabs>
          <w:tab w:val="left" w:pos="540"/>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4.甲方提供给乙方为履行本合同系统实施所需的相应资料涉及违反国家机密、侵犯他人商标及专利、版权、其他违反本合同包括但不限于第六条知识产权及保护条款的，乙方自知道之日起有权解除本合同。</w:t>
      </w:r>
    </w:p>
    <w:p>
      <w:pPr>
        <w:keepNext w:val="0"/>
        <w:keepLines w:val="0"/>
        <w:pageBreakBefore w:val="0"/>
        <w:widowControl w:val="0"/>
        <w:numPr>
          <w:ilvl w:val="0"/>
          <w:numId w:val="2"/>
        </w:numPr>
        <w:shd w:val="clear"/>
        <w:tabs>
          <w:tab w:val="left" w:pos="480"/>
          <w:tab w:val="left" w:pos="540"/>
        </w:tabs>
        <w:kinsoku/>
        <w:wordWrap/>
        <w:overflowPunct/>
        <w:topLinePunct w:val="0"/>
        <w:autoSpaceDE/>
        <w:autoSpaceDN/>
        <w:bidi w:val="0"/>
        <w:adjustRightInd/>
        <w:snapToGrid/>
        <w:spacing w:line="50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争端的解决</w:t>
      </w:r>
    </w:p>
    <w:p>
      <w:pPr>
        <w:keepNext w:val="0"/>
        <w:keepLines w:val="0"/>
        <w:pageBreakBefore w:val="0"/>
        <w:widowControl w:val="0"/>
        <w:shd w:val="clear"/>
        <w:tabs>
          <w:tab w:val="left" w:pos="540"/>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1.凡与本合同有关而引起的一切争议，甲乙双方应首先通过友好协商解决，如经协商后仍不能达成协议时，双方同意提交淮南仲裁委员会仲裁解决。</w:t>
      </w:r>
    </w:p>
    <w:p>
      <w:pPr>
        <w:keepNext w:val="0"/>
        <w:keepLines w:val="0"/>
        <w:pageBreakBefore w:val="0"/>
        <w:widowControl w:val="0"/>
        <w:shd w:val="clear"/>
        <w:tabs>
          <w:tab w:val="left" w:pos="540"/>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2.本合同按照中华人民共和国的法律进行解释。</w:t>
      </w:r>
    </w:p>
    <w:p>
      <w:pPr>
        <w:keepNext w:val="0"/>
        <w:keepLines w:val="0"/>
        <w:pageBreakBefore w:val="0"/>
        <w:widowControl w:val="0"/>
        <w:numPr>
          <w:ilvl w:val="0"/>
          <w:numId w:val="2"/>
        </w:numPr>
        <w:shd w:val="clear"/>
        <w:tabs>
          <w:tab w:val="left" w:pos="480"/>
          <w:tab w:val="left" w:pos="540"/>
        </w:tabs>
        <w:kinsoku/>
        <w:wordWrap/>
        <w:overflowPunct/>
        <w:topLinePunct w:val="0"/>
        <w:autoSpaceDE/>
        <w:autoSpaceDN/>
        <w:bidi w:val="0"/>
        <w:adjustRightInd/>
        <w:snapToGrid/>
        <w:spacing w:line="50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税和关税</w:t>
      </w:r>
    </w:p>
    <w:p>
      <w:pPr>
        <w:keepNext w:val="0"/>
        <w:keepLines w:val="0"/>
        <w:pageBreakBefore w:val="0"/>
        <w:widowControl w:val="0"/>
        <w:shd w:val="clear"/>
        <w:tabs>
          <w:tab w:val="left" w:pos="540"/>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1.中国政府根据现行税法对甲方征收的与本合同有关的一切税费均应由甲方负担。</w:t>
      </w:r>
    </w:p>
    <w:p>
      <w:pPr>
        <w:keepNext w:val="0"/>
        <w:keepLines w:val="0"/>
        <w:pageBreakBefore w:val="0"/>
        <w:widowControl w:val="0"/>
        <w:shd w:val="clear"/>
        <w:tabs>
          <w:tab w:val="left" w:pos="540"/>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2.中国政府根据现行的税法规定对乙方或其雇员征收的与本合同有关的一切税费均应由乙方负担。</w:t>
      </w:r>
    </w:p>
    <w:p>
      <w:pPr>
        <w:keepNext w:val="0"/>
        <w:keepLines w:val="0"/>
        <w:pageBreakBefore w:val="0"/>
        <w:widowControl w:val="0"/>
        <w:numPr>
          <w:ilvl w:val="0"/>
          <w:numId w:val="2"/>
        </w:numPr>
        <w:shd w:val="clear"/>
        <w:tabs>
          <w:tab w:val="left" w:pos="480"/>
          <w:tab w:val="left" w:pos="540"/>
        </w:tabs>
        <w:kinsoku/>
        <w:wordWrap/>
        <w:overflowPunct/>
        <w:topLinePunct w:val="0"/>
        <w:autoSpaceDE/>
        <w:autoSpaceDN/>
        <w:bidi w:val="0"/>
        <w:adjustRightInd/>
        <w:snapToGrid/>
        <w:spacing w:line="50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知识产权及保密</w:t>
      </w:r>
    </w:p>
    <w:p>
      <w:pPr>
        <w:keepNext w:val="0"/>
        <w:keepLines w:val="0"/>
        <w:pageBreakBefore w:val="0"/>
        <w:widowControl w:val="0"/>
        <w:shd w:val="clear"/>
        <w:tabs>
          <w:tab w:val="left" w:pos="540"/>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1.甲乙双方为本合同条款和合同金额保密；</w:t>
      </w:r>
    </w:p>
    <w:p>
      <w:pPr>
        <w:keepNext w:val="0"/>
        <w:keepLines w:val="0"/>
        <w:pageBreakBefore w:val="0"/>
        <w:widowControl w:val="0"/>
        <w:shd w:val="clear"/>
        <w:tabs>
          <w:tab w:val="left" w:pos="540"/>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2.乙方所有参与本项目的服务人员必须严格遵守保密守则，不得向其它公司和人员泄露任何技术资料，违反者将严肃处理，如因此造成甲方经济损失或名誉损失的，甲方有权追究乙方和相关责任人的法律责任；</w:t>
      </w:r>
    </w:p>
    <w:p>
      <w:pPr>
        <w:keepNext w:val="0"/>
        <w:keepLines w:val="0"/>
        <w:pageBreakBefore w:val="0"/>
        <w:widowControl w:val="0"/>
        <w:shd w:val="clear"/>
        <w:tabs>
          <w:tab w:val="left" w:pos="540"/>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3.在本项目完工后，乙方全部归还在项目实施期间甲方提供的所有资料。</w:t>
      </w:r>
    </w:p>
    <w:p>
      <w:pPr>
        <w:keepNext w:val="0"/>
        <w:keepLines w:val="0"/>
        <w:pageBreakBefore w:val="0"/>
        <w:widowControl w:val="0"/>
        <w:numPr>
          <w:ilvl w:val="0"/>
          <w:numId w:val="2"/>
        </w:numPr>
        <w:shd w:val="clear"/>
        <w:tabs>
          <w:tab w:val="left" w:pos="480"/>
          <w:tab w:val="left" w:pos="540"/>
        </w:tabs>
        <w:kinsoku/>
        <w:wordWrap/>
        <w:overflowPunct/>
        <w:topLinePunct w:val="0"/>
        <w:autoSpaceDE/>
        <w:autoSpaceDN/>
        <w:bidi w:val="0"/>
        <w:adjustRightInd/>
        <w:snapToGrid/>
        <w:spacing w:line="50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合同的生效</w:t>
      </w:r>
    </w:p>
    <w:p>
      <w:pPr>
        <w:keepNext w:val="0"/>
        <w:keepLines w:val="0"/>
        <w:pageBreakBefore w:val="0"/>
        <w:widowControl w:val="0"/>
        <w:shd w:val="clear"/>
        <w:tabs>
          <w:tab w:val="left" w:pos="540"/>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1、本合同经甲、乙双方法定代表人或授权代表签字并加盖双方公章之日起生效。</w:t>
      </w:r>
    </w:p>
    <w:p>
      <w:pPr>
        <w:keepNext w:val="0"/>
        <w:keepLines w:val="0"/>
        <w:pageBreakBefore w:val="0"/>
        <w:widowControl w:val="0"/>
        <w:shd w:val="clear"/>
        <w:tabs>
          <w:tab w:val="left" w:pos="540"/>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2、本合同一式</w:t>
      </w:r>
      <w:r>
        <w:rPr>
          <w:rFonts w:hint="eastAsia" w:ascii="仿宋" w:hAnsi="仿宋" w:eastAsia="仿宋" w:cs="仿宋"/>
          <w:color w:val="auto"/>
          <w:sz w:val="28"/>
          <w:szCs w:val="28"/>
          <w:highlight w:val="none"/>
          <w:lang w:val="en-US" w:eastAsia="zh-CN"/>
        </w:rPr>
        <w:t>伍</w:t>
      </w:r>
      <w:r>
        <w:rPr>
          <w:rFonts w:hint="eastAsia" w:ascii="仿宋" w:hAnsi="仿宋" w:eastAsia="仿宋" w:cs="仿宋"/>
          <w:color w:val="auto"/>
          <w:sz w:val="28"/>
          <w:szCs w:val="28"/>
          <w:highlight w:val="none"/>
        </w:rPr>
        <w:t>份，甲、乙双方各执</w:t>
      </w:r>
      <w:r>
        <w:rPr>
          <w:rFonts w:hint="eastAsia" w:ascii="仿宋" w:hAnsi="仿宋" w:eastAsia="仿宋" w:cs="仿宋"/>
          <w:color w:val="auto"/>
          <w:sz w:val="28"/>
          <w:szCs w:val="28"/>
          <w:highlight w:val="none"/>
          <w:lang w:val="en-US" w:eastAsia="zh-CN"/>
        </w:rPr>
        <w:t>贰</w:t>
      </w:r>
      <w:r>
        <w:rPr>
          <w:rFonts w:hint="eastAsia" w:ascii="仿宋" w:hAnsi="仿宋" w:eastAsia="仿宋" w:cs="仿宋"/>
          <w:color w:val="auto"/>
          <w:sz w:val="28"/>
          <w:szCs w:val="28"/>
          <w:highlight w:val="none"/>
        </w:rPr>
        <w:t>份，</w:t>
      </w:r>
      <w:r>
        <w:rPr>
          <w:rFonts w:hint="eastAsia" w:ascii="仿宋" w:hAnsi="仿宋" w:eastAsia="仿宋" w:cs="仿宋"/>
          <w:color w:val="auto"/>
          <w:sz w:val="28"/>
          <w:szCs w:val="28"/>
          <w:highlight w:val="none"/>
          <w:lang w:val="en-US" w:eastAsia="zh-CN"/>
        </w:rPr>
        <w:t>采购代理机构执壹份，</w:t>
      </w:r>
      <w:r>
        <w:rPr>
          <w:rFonts w:hint="eastAsia" w:ascii="仿宋" w:hAnsi="仿宋" w:eastAsia="仿宋" w:cs="仿宋"/>
          <w:color w:val="auto"/>
          <w:sz w:val="28"/>
          <w:szCs w:val="28"/>
          <w:highlight w:val="none"/>
        </w:rPr>
        <w:t>每份具有同等法律效力。</w:t>
      </w:r>
    </w:p>
    <w:p>
      <w:pPr>
        <w:pStyle w:val="6"/>
        <w:shd w:val="clear"/>
        <w:tabs>
          <w:tab w:val="left" w:pos="574"/>
        </w:tabs>
        <w:rPr>
          <w:rFonts w:hint="eastAsia" w:ascii="仿宋" w:hAnsi="仿宋" w:eastAsia="仿宋" w:cs="仿宋"/>
          <w:color w:val="auto"/>
          <w:sz w:val="28"/>
          <w:szCs w:val="28"/>
          <w:highlight w:val="none"/>
        </w:rPr>
      </w:pPr>
    </w:p>
    <w:p>
      <w:pPr>
        <w:keepNext w:val="0"/>
        <w:keepLines w:val="0"/>
        <w:pageBreakBefore w:val="0"/>
        <w:widowControl w:val="0"/>
        <w:shd w:val="clear"/>
        <w:kinsoku/>
        <w:wordWrap/>
        <w:overflowPunct/>
        <w:topLinePunct w:val="0"/>
        <w:autoSpaceDE/>
        <w:autoSpaceDN/>
        <w:bidi w:val="0"/>
        <w:adjustRightInd/>
        <w:snapToGrid/>
        <w:spacing w:before="120" w:beforeLines="50" w:after="360" w:afterLines="150"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甲方（公章）：　　                        乙方（公章）：</w:t>
      </w:r>
    </w:p>
    <w:p>
      <w:pPr>
        <w:keepNext w:val="0"/>
        <w:keepLines w:val="0"/>
        <w:pageBreakBefore w:val="0"/>
        <w:widowControl w:val="0"/>
        <w:shd w:val="clear"/>
        <w:kinsoku/>
        <w:wordWrap/>
        <w:overflowPunct/>
        <w:topLinePunct w:val="0"/>
        <w:autoSpaceDE/>
        <w:autoSpaceDN/>
        <w:bidi w:val="0"/>
        <w:adjustRightInd/>
        <w:snapToGrid/>
        <w:spacing w:before="120" w:beforeLines="50" w:after="360" w:afterLines="150"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单位地址：　　　　　　　　                单位地址：</w:t>
      </w:r>
    </w:p>
    <w:p>
      <w:pPr>
        <w:keepNext w:val="0"/>
        <w:keepLines w:val="0"/>
        <w:pageBreakBefore w:val="0"/>
        <w:widowControl w:val="0"/>
        <w:shd w:val="clear"/>
        <w:kinsoku/>
        <w:wordWrap/>
        <w:overflowPunct/>
        <w:topLinePunct w:val="0"/>
        <w:autoSpaceDE/>
        <w:autoSpaceDN/>
        <w:bidi w:val="0"/>
        <w:adjustRightInd/>
        <w:snapToGrid/>
        <w:spacing w:before="120" w:beforeLines="50" w:after="360" w:afterLines="150"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法定代表人或授权代表：　　　　　　　　    法定代表人或授权代表：</w:t>
      </w:r>
    </w:p>
    <w:p>
      <w:pPr>
        <w:keepNext w:val="0"/>
        <w:keepLines w:val="0"/>
        <w:pageBreakBefore w:val="0"/>
        <w:widowControl w:val="0"/>
        <w:shd w:val="clear"/>
        <w:kinsoku/>
        <w:wordWrap/>
        <w:overflowPunct/>
        <w:topLinePunct w:val="0"/>
        <w:autoSpaceDE/>
        <w:autoSpaceDN/>
        <w:bidi w:val="0"/>
        <w:adjustRightInd/>
        <w:snapToGrid/>
        <w:spacing w:before="120" w:beforeLines="50" w:after="360" w:afterLines="150"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　　　　　　　　                    电话：</w:t>
      </w:r>
    </w:p>
    <w:p>
      <w:pPr>
        <w:keepNext w:val="0"/>
        <w:keepLines w:val="0"/>
        <w:pageBreakBefore w:val="0"/>
        <w:widowControl w:val="0"/>
        <w:shd w:val="clear"/>
        <w:kinsoku/>
        <w:wordWrap/>
        <w:overflowPunct/>
        <w:topLinePunct w:val="0"/>
        <w:autoSpaceDE/>
        <w:autoSpaceDN/>
        <w:bidi w:val="0"/>
        <w:adjustRightInd/>
        <w:snapToGrid/>
        <w:spacing w:before="120" w:beforeLines="50" w:after="360" w:afterLines="150"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　年　月　日　　　　                日期：　年　月　日</w:t>
      </w:r>
    </w:p>
    <w:p>
      <w:pPr>
        <w:shd w:val="clear"/>
        <w:rPr>
          <w:rFonts w:hint="eastAsia"/>
          <w:color w:val="auto"/>
          <w:sz w:val="28"/>
          <w:szCs w:val="28"/>
          <w:highlight w:val="none"/>
        </w:rPr>
      </w:pPr>
      <w:r>
        <w:rPr>
          <w:rFonts w:hint="eastAsia"/>
          <w:color w:val="auto"/>
          <w:sz w:val="28"/>
          <w:szCs w:val="28"/>
          <w:highlight w:val="none"/>
        </w:rPr>
        <w:br w:type="page"/>
      </w:r>
    </w:p>
    <w:p>
      <w:pPr>
        <w:pStyle w:val="7"/>
        <w:shd w:val="clear"/>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eastAsia="zh-CN"/>
        </w:rPr>
        <w:t>附件</w:t>
      </w:r>
      <w:r>
        <w:rPr>
          <w:rFonts w:hint="eastAsia" w:ascii="仿宋_GB2312" w:hAnsi="仿宋_GB2312" w:eastAsia="仿宋_GB2312" w:cs="仿宋_GB2312"/>
          <w:b w:val="0"/>
          <w:bCs w:val="0"/>
          <w:color w:val="auto"/>
          <w:sz w:val="32"/>
          <w:szCs w:val="32"/>
          <w:highlight w:val="none"/>
          <w:lang w:val="en-US" w:eastAsia="zh-CN"/>
        </w:rPr>
        <w:t>7：</w:t>
      </w:r>
    </w:p>
    <w:p>
      <w:pPr>
        <w:numPr>
          <w:ilvl w:val="0"/>
          <w:numId w:val="0"/>
        </w:numPr>
        <w:shd w:val="clear"/>
        <w:jc w:val="center"/>
        <w:outlineLvl w:val="0"/>
        <w:rPr>
          <w:rFonts w:hint="eastAsia" w:ascii="仿宋" w:hAnsi="仿宋" w:eastAsia="仿宋" w:cs="仿宋"/>
          <w:b/>
          <w:bCs/>
          <w:color w:val="auto"/>
          <w:kern w:val="2"/>
          <w:sz w:val="32"/>
          <w:szCs w:val="32"/>
          <w:highlight w:val="none"/>
          <w:lang w:val="en-US" w:eastAsia="zh-CN" w:bidi="ar-SA"/>
        </w:rPr>
      </w:pPr>
      <w:r>
        <w:rPr>
          <w:rFonts w:hint="eastAsia" w:ascii="方正小标宋简体" w:hAnsi="方正小标宋简体" w:eastAsia="方正小标宋简体" w:cs="方正小标宋简体"/>
          <w:b w:val="0"/>
          <w:bCs w:val="0"/>
          <w:color w:val="auto"/>
          <w:kern w:val="44"/>
          <w:sz w:val="44"/>
          <w:szCs w:val="44"/>
          <w:highlight w:val="none"/>
          <w:lang w:val="en-US" w:eastAsia="zh-CN" w:bidi="ar-SA"/>
        </w:rPr>
        <w:t>谈判响应文件格式</w:t>
      </w:r>
    </w:p>
    <w:p>
      <w:pPr>
        <w:pStyle w:val="2"/>
        <w:numPr>
          <w:ilvl w:val="0"/>
          <w:numId w:val="0"/>
        </w:numPr>
        <w:shd w:val="clear"/>
        <w:rPr>
          <w:rFonts w:hint="eastAsia" w:ascii="仿宋" w:hAnsi="仿宋" w:eastAsia="仿宋" w:cs="仿宋"/>
          <w:color w:val="auto"/>
          <w:highlight w:val="none"/>
          <w:lang w:val="en-US" w:eastAsia="zh-CN"/>
        </w:rPr>
      </w:pPr>
    </w:p>
    <w:p>
      <w:pPr>
        <w:pStyle w:val="5"/>
        <w:shd w:val="clear"/>
        <w:rPr>
          <w:rFonts w:hint="eastAsia" w:ascii="仿宋" w:hAnsi="仿宋" w:eastAsia="仿宋" w:cs="仿宋"/>
          <w:color w:val="auto"/>
          <w:highlight w:val="none"/>
          <w:lang w:val="en-US" w:eastAsia="zh-CN"/>
        </w:rPr>
      </w:pPr>
    </w:p>
    <w:p>
      <w:pPr>
        <w:shd w:val="clear"/>
        <w:jc w:val="center"/>
        <w:rPr>
          <w:rFonts w:hint="eastAsia" w:ascii="仿宋" w:hAnsi="仿宋" w:eastAsia="仿宋" w:cs="仿宋"/>
          <w:b/>
          <w:color w:val="auto"/>
          <w:sz w:val="84"/>
          <w:szCs w:val="84"/>
          <w:highlight w:val="none"/>
        </w:rPr>
      </w:pPr>
      <w:r>
        <w:rPr>
          <w:rFonts w:hint="eastAsia" w:ascii="仿宋" w:hAnsi="仿宋" w:eastAsia="仿宋" w:cs="仿宋"/>
          <w:b/>
          <w:color w:val="auto"/>
          <w:sz w:val="84"/>
          <w:szCs w:val="84"/>
          <w:highlight w:val="none"/>
          <w:lang w:eastAsia="zh-CN"/>
        </w:rPr>
        <w:t>谈判</w:t>
      </w:r>
      <w:r>
        <w:rPr>
          <w:rFonts w:hint="eastAsia" w:ascii="仿宋" w:hAnsi="仿宋" w:eastAsia="仿宋" w:cs="仿宋"/>
          <w:b/>
          <w:color w:val="auto"/>
          <w:sz w:val="84"/>
          <w:szCs w:val="84"/>
          <w:highlight w:val="none"/>
        </w:rPr>
        <w:t>响应文件</w:t>
      </w:r>
    </w:p>
    <w:p>
      <w:pPr>
        <w:shd w:val="clear"/>
        <w:jc w:val="center"/>
        <w:rPr>
          <w:rFonts w:hint="eastAsia" w:ascii="仿宋" w:hAnsi="仿宋" w:eastAsia="仿宋" w:cs="仿宋"/>
          <w:b/>
          <w:color w:val="auto"/>
          <w:sz w:val="48"/>
          <w:szCs w:val="48"/>
          <w:highlight w:val="none"/>
        </w:rPr>
      </w:pPr>
    </w:p>
    <w:p>
      <w:pPr>
        <w:shd w:val="clear"/>
        <w:jc w:val="center"/>
        <w:rPr>
          <w:rFonts w:hint="eastAsia" w:ascii="仿宋" w:hAnsi="仿宋" w:eastAsia="仿宋" w:cs="仿宋"/>
          <w:b/>
          <w:color w:val="auto"/>
          <w:sz w:val="48"/>
          <w:szCs w:val="48"/>
          <w:highlight w:val="none"/>
        </w:rPr>
      </w:pPr>
    </w:p>
    <w:p>
      <w:pPr>
        <w:shd w:val="clear"/>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（正本/副本）</w:t>
      </w:r>
    </w:p>
    <w:p>
      <w:pPr>
        <w:shd w:val="clear"/>
        <w:jc w:val="center"/>
        <w:rPr>
          <w:rFonts w:hint="eastAsia" w:ascii="仿宋" w:hAnsi="仿宋" w:eastAsia="仿宋" w:cs="仿宋"/>
          <w:b/>
          <w:color w:val="auto"/>
          <w:sz w:val="72"/>
          <w:highlight w:val="none"/>
        </w:rPr>
      </w:pPr>
    </w:p>
    <w:p>
      <w:pPr>
        <w:shd w:val="clear"/>
        <w:jc w:val="center"/>
        <w:rPr>
          <w:rFonts w:hint="eastAsia" w:ascii="仿宋" w:hAnsi="仿宋" w:eastAsia="仿宋" w:cs="仿宋"/>
          <w:b/>
          <w:color w:val="auto"/>
          <w:sz w:val="36"/>
          <w:highlight w:val="none"/>
        </w:rPr>
      </w:pPr>
    </w:p>
    <w:p>
      <w:pPr>
        <w:shd w:val="clear"/>
        <w:jc w:val="center"/>
        <w:rPr>
          <w:rFonts w:hint="eastAsia" w:ascii="仿宋" w:hAnsi="仿宋" w:eastAsia="仿宋" w:cs="仿宋"/>
          <w:b/>
          <w:color w:val="auto"/>
          <w:sz w:val="36"/>
          <w:highlight w:val="none"/>
        </w:rPr>
      </w:pPr>
    </w:p>
    <w:p>
      <w:pPr>
        <w:shd w:val="clear"/>
        <w:jc w:val="center"/>
        <w:rPr>
          <w:rFonts w:hint="eastAsia" w:ascii="仿宋" w:hAnsi="仿宋" w:eastAsia="仿宋" w:cs="仿宋"/>
          <w:b/>
          <w:color w:val="auto"/>
          <w:sz w:val="36"/>
          <w:highlight w:val="none"/>
        </w:rPr>
      </w:pPr>
    </w:p>
    <w:p>
      <w:pPr>
        <w:shd w:val="clear"/>
        <w:jc w:val="center"/>
        <w:rPr>
          <w:rFonts w:hint="eastAsia" w:ascii="仿宋" w:hAnsi="仿宋" w:eastAsia="仿宋" w:cs="仿宋"/>
          <w:b/>
          <w:color w:val="auto"/>
          <w:sz w:val="36"/>
          <w:highlight w:val="none"/>
        </w:rPr>
      </w:pPr>
    </w:p>
    <w:tbl>
      <w:tblPr>
        <w:tblStyle w:val="51"/>
        <w:tblW w:w="0" w:type="auto"/>
        <w:jc w:val="center"/>
        <w:tblLayout w:type="fixed"/>
        <w:tblCellMar>
          <w:top w:w="0" w:type="dxa"/>
          <w:left w:w="108" w:type="dxa"/>
          <w:bottom w:w="0" w:type="dxa"/>
          <w:right w:w="108" w:type="dxa"/>
        </w:tblCellMar>
      </w:tblPr>
      <w:tblGrid>
        <w:gridCol w:w="2069"/>
        <w:gridCol w:w="578"/>
        <w:gridCol w:w="6000"/>
      </w:tblGrid>
      <w:tr>
        <w:tblPrEx>
          <w:tblCellMar>
            <w:top w:w="0" w:type="dxa"/>
            <w:left w:w="108" w:type="dxa"/>
            <w:bottom w:w="0" w:type="dxa"/>
            <w:right w:w="108" w:type="dxa"/>
          </w:tblCellMar>
        </w:tblPrEx>
        <w:trPr>
          <w:jc w:val="center"/>
        </w:trPr>
        <w:tc>
          <w:tcPr>
            <w:tcW w:w="2069" w:type="dxa"/>
            <w:noWrap w:val="0"/>
            <w:vAlign w:val="center"/>
          </w:tcPr>
          <w:p>
            <w:pPr>
              <w:shd w:val="clear"/>
              <w:spacing w:line="360" w:lineRule="auto"/>
              <w:jc w:val="distribute"/>
              <w:rPr>
                <w:rFonts w:hint="eastAsia" w:ascii="仿宋" w:hAnsi="仿宋" w:eastAsia="仿宋" w:cs="仿宋"/>
                <w:b/>
                <w:color w:val="auto"/>
                <w:sz w:val="36"/>
                <w:highlight w:val="none"/>
              </w:rPr>
            </w:pPr>
            <w:r>
              <w:rPr>
                <w:rFonts w:hint="eastAsia" w:ascii="仿宋" w:hAnsi="仿宋" w:eastAsia="仿宋" w:cs="仿宋"/>
                <w:color w:val="auto"/>
                <w:sz w:val="32"/>
                <w:szCs w:val="32"/>
                <w:highlight w:val="none"/>
              </w:rPr>
              <w:t>项目名称</w:t>
            </w:r>
          </w:p>
        </w:tc>
        <w:tc>
          <w:tcPr>
            <w:tcW w:w="578" w:type="dxa"/>
            <w:noWrap w:val="0"/>
            <w:vAlign w:val="center"/>
          </w:tcPr>
          <w:p>
            <w:pPr>
              <w:shd w:val="clear"/>
              <w:spacing w:line="360" w:lineRule="auto"/>
              <w:jc w:val="center"/>
              <w:rPr>
                <w:rFonts w:hint="eastAsia" w:ascii="仿宋" w:hAnsi="仿宋" w:eastAsia="仿宋" w:cs="仿宋"/>
                <w:b/>
                <w:color w:val="auto"/>
                <w:sz w:val="36"/>
                <w:highlight w:val="none"/>
              </w:rPr>
            </w:pPr>
            <w:r>
              <w:rPr>
                <w:rFonts w:hint="eastAsia" w:ascii="仿宋" w:hAnsi="仿宋" w:eastAsia="仿宋" w:cs="仿宋"/>
                <w:b/>
                <w:color w:val="auto"/>
                <w:sz w:val="36"/>
                <w:highlight w:val="none"/>
              </w:rPr>
              <w:t>：</w:t>
            </w:r>
          </w:p>
        </w:tc>
        <w:tc>
          <w:tcPr>
            <w:tcW w:w="6000" w:type="dxa"/>
            <w:tcBorders>
              <w:bottom w:val="single" w:color="auto" w:sz="4" w:space="0"/>
            </w:tcBorders>
            <w:noWrap w:val="0"/>
            <w:vAlign w:val="center"/>
          </w:tcPr>
          <w:p>
            <w:pPr>
              <w:shd w:val="clear"/>
              <w:spacing w:line="360" w:lineRule="auto"/>
              <w:jc w:val="center"/>
              <w:rPr>
                <w:rFonts w:hint="eastAsia" w:ascii="仿宋" w:hAnsi="仿宋" w:eastAsia="仿宋" w:cs="仿宋"/>
                <w:b/>
                <w:color w:val="auto"/>
                <w:sz w:val="36"/>
                <w:highlight w:val="none"/>
                <w:lang w:eastAsia="zh-CN"/>
              </w:rPr>
            </w:pPr>
            <w:r>
              <w:rPr>
                <w:rFonts w:hint="eastAsia" w:ascii="仿宋" w:hAnsi="仿宋" w:eastAsia="仿宋" w:cs="仿宋"/>
                <w:color w:val="auto"/>
                <w:sz w:val="32"/>
                <w:szCs w:val="32"/>
                <w:highlight w:val="none"/>
                <w:lang w:val="en-US" w:eastAsia="zh-CN"/>
              </w:rPr>
              <w:t xml:space="preserve"> </w:t>
            </w:r>
          </w:p>
        </w:tc>
      </w:tr>
      <w:tr>
        <w:tblPrEx>
          <w:tblCellMar>
            <w:top w:w="0" w:type="dxa"/>
            <w:left w:w="108" w:type="dxa"/>
            <w:bottom w:w="0" w:type="dxa"/>
            <w:right w:w="108" w:type="dxa"/>
          </w:tblCellMar>
        </w:tblPrEx>
        <w:trPr>
          <w:jc w:val="center"/>
        </w:trPr>
        <w:tc>
          <w:tcPr>
            <w:tcW w:w="2069" w:type="dxa"/>
            <w:noWrap w:val="0"/>
            <w:vAlign w:val="center"/>
          </w:tcPr>
          <w:p>
            <w:pPr>
              <w:shd w:val="clear"/>
              <w:spacing w:line="360" w:lineRule="auto"/>
              <w:jc w:val="distribute"/>
              <w:rPr>
                <w:rFonts w:hint="eastAsia" w:ascii="仿宋" w:hAnsi="仿宋" w:eastAsia="仿宋" w:cs="仿宋"/>
                <w:b/>
                <w:color w:val="auto"/>
                <w:sz w:val="36"/>
                <w:highlight w:val="none"/>
              </w:rPr>
            </w:pPr>
            <w:r>
              <w:rPr>
                <w:rFonts w:hint="eastAsia" w:ascii="仿宋" w:hAnsi="仿宋" w:eastAsia="仿宋" w:cs="仿宋"/>
                <w:color w:val="auto"/>
                <w:sz w:val="32"/>
                <w:szCs w:val="32"/>
                <w:highlight w:val="none"/>
              </w:rPr>
              <w:t>供应商名称</w:t>
            </w:r>
          </w:p>
        </w:tc>
        <w:tc>
          <w:tcPr>
            <w:tcW w:w="578" w:type="dxa"/>
            <w:noWrap w:val="0"/>
            <w:vAlign w:val="center"/>
          </w:tcPr>
          <w:p>
            <w:pPr>
              <w:shd w:val="clear"/>
              <w:spacing w:line="360" w:lineRule="auto"/>
              <w:jc w:val="center"/>
              <w:rPr>
                <w:rFonts w:hint="eastAsia" w:ascii="仿宋" w:hAnsi="仿宋" w:eastAsia="仿宋" w:cs="仿宋"/>
                <w:b/>
                <w:color w:val="auto"/>
                <w:sz w:val="36"/>
                <w:highlight w:val="none"/>
              </w:rPr>
            </w:pPr>
            <w:r>
              <w:rPr>
                <w:rFonts w:hint="eastAsia" w:ascii="仿宋" w:hAnsi="仿宋" w:eastAsia="仿宋" w:cs="仿宋"/>
                <w:b/>
                <w:color w:val="auto"/>
                <w:sz w:val="36"/>
                <w:highlight w:val="none"/>
              </w:rPr>
              <w:t>：</w:t>
            </w:r>
          </w:p>
        </w:tc>
        <w:tc>
          <w:tcPr>
            <w:tcW w:w="6000" w:type="dxa"/>
            <w:tcBorders>
              <w:top w:val="single" w:color="auto" w:sz="4" w:space="0"/>
              <w:bottom w:val="single" w:color="auto" w:sz="4" w:space="0"/>
            </w:tcBorders>
            <w:noWrap w:val="0"/>
            <w:vAlign w:val="center"/>
          </w:tcPr>
          <w:p>
            <w:pPr>
              <w:shd w:val="clear"/>
              <w:spacing w:line="360" w:lineRule="auto"/>
              <w:jc w:val="center"/>
              <w:rPr>
                <w:rFonts w:hint="eastAsia" w:ascii="仿宋" w:hAnsi="仿宋" w:eastAsia="仿宋" w:cs="仿宋"/>
                <w:b/>
                <w:color w:val="auto"/>
                <w:sz w:val="36"/>
                <w:highlight w:val="none"/>
              </w:rPr>
            </w:pPr>
            <w:r>
              <w:rPr>
                <w:rFonts w:hint="eastAsia" w:ascii="仿宋" w:hAnsi="仿宋" w:eastAsia="仿宋" w:cs="仿宋"/>
                <w:color w:val="auto"/>
                <w:sz w:val="32"/>
                <w:szCs w:val="32"/>
                <w:highlight w:val="none"/>
              </w:rPr>
              <w:t>（全称并加盖公章）</w:t>
            </w:r>
          </w:p>
        </w:tc>
      </w:tr>
      <w:tr>
        <w:tblPrEx>
          <w:tblCellMar>
            <w:top w:w="0" w:type="dxa"/>
            <w:left w:w="108" w:type="dxa"/>
            <w:bottom w:w="0" w:type="dxa"/>
            <w:right w:w="108" w:type="dxa"/>
          </w:tblCellMar>
        </w:tblPrEx>
        <w:trPr>
          <w:jc w:val="center"/>
        </w:trPr>
        <w:tc>
          <w:tcPr>
            <w:tcW w:w="2069" w:type="dxa"/>
            <w:noWrap w:val="0"/>
            <w:vAlign w:val="center"/>
          </w:tcPr>
          <w:p>
            <w:pPr>
              <w:shd w:val="clear"/>
              <w:spacing w:line="360" w:lineRule="auto"/>
              <w:jc w:val="distribut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项目编号</w:t>
            </w:r>
          </w:p>
        </w:tc>
        <w:tc>
          <w:tcPr>
            <w:tcW w:w="578" w:type="dxa"/>
            <w:noWrap w:val="0"/>
            <w:vAlign w:val="center"/>
          </w:tcPr>
          <w:p>
            <w:pPr>
              <w:shd w:val="clear"/>
              <w:spacing w:line="360" w:lineRule="auto"/>
              <w:jc w:val="center"/>
              <w:rPr>
                <w:rFonts w:hint="eastAsia" w:ascii="仿宋" w:hAnsi="仿宋" w:eastAsia="仿宋" w:cs="仿宋"/>
                <w:b/>
                <w:color w:val="auto"/>
                <w:sz w:val="36"/>
                <w:highlight w:val="none"/>
              </w:rPr>
            </w:pPr>
            <w:r>
              <w:rPr>
                <w:rFonts w:hint="eastAsia" w:ascii="仿宋" w:hAnsi="仿宋" w:eastAsia="仿宋" w:cs="仿宋"/>
                <w:b/>
                <w:color w:val="auto"/>
                <w:sz w:val="36"/>
                <w:highlight w:val="none"/>
              </w:rPr>
              <w:t>：</w:t>
            </w:r>
          </w:p>
        </w:tc>
        <w:tc>
          <w:tcPr>
            <w:tcW w:w="6000" w:type="dxa"/>
            <w:tcBorders>
              <w:top w:val="single" w:color="auto" w:sz="4" w:space="0"/>
              <w:bottom w:val="single" w:color="auto" w:sz="4" w:space="0"/>
            </w:tcBorders>
            <w:noWrap w:val="0"/>
            <w:vAlign w:val="center"/>
          </w:tcPr>
          <w:p>
            <w:pPr>
              <w:shd w:val="clear"/>
              <w:spacing w:line="360" w:lineRule="auto"/>
              <w:jc w:val="center"/>
              <w:rPr>
                <w:rFonts w:hint="eastAsia" w:ascii="仿宋" w:hAnsi="仿宋" w:eastAsia="仿宋" w:cs="仿宋"/>
                <w:color w:val="auto"/>
                <w:sz w:val="32"/>
                <w:szCs w:val="32"/>
                <w:highlight w:val="none"/>
              </w:rPr>
            </w:pPr>
          </w:p>
        </w:tc>
      </w:tr>
      <w:tr>
        <w:trPr>
          <w:jc w:val="center"/>
        </w:trPr>
        <w:tc>
          <w:tcPr>
            <w:tcW w:w="2069" w:type="dxa"/>
            <w:noWrap w:val="0"/>
            <w:vAlign w:val="center"/>
          </w:tcPr>
          <w:p>
            <w:pPr>
              <w:shd w:val="clear"/>
              <w:spacing w:line="360" w:lineRule="auto"/>
              <w:jc w:val="distribute"/>
              <w:rPr>
                <w:rFonts w:hint="eastAsia" w:ascii="仿宋" w:hAnsi="仿宋" w:eastAsia="仿宋" w:cs="仿宋"/>
                <w:b/>
                <w:color w:val="auto"/>
                <w:sz w:val="36"/>
                <w:highlight w:val="none"/>
              </w:rPr>
            </w:pPr>
            <w:r>
              <w:rPr>
                <w:rFonts w:hint="eastAsia" w:ascii="仿宋" w:hAnsi="仿宋" w:eastAsia="仿宋" w:cs="仿宋"/>
                <w:color w:val="auto"/>
                <w:sz w:val="32"/>
                <w:szCs w:val="32"/>
                <w:highlight w:val="none"/>
              </w:rPr>
              <w:t>日期</w:t>
            </w:r>
          </w:p>
        </w:tc>
        <w:tc>
          <w:tcPr>
            <w:tcW w:w="578" w:type="dxa"/>
            <w:noWrap w:val="0"/>
            <w:vAlign w:val="center"/>
          </w:tcPr>
          <w:p>
            <w:pPr>
              <w:shd w:val="clear"/>
              <w:spacing w:line="360" w:lineRule="auto"/>
              <w:jc w:val="center"/>
              <w:rPr>
                <w:rFonts w:hint="eastAsia" w:ascii="仿宋" w:hAnsi="仿宋" w:eastAsia="仿宋" w:cs="仿宋"/>
                <w:b/>
                <w:color w:val="auto"/>
                <w:sz w:val="36"/>
                <w:highlight w:val="none"/>
              </w:rPr>
            </w:pPr>
            <w:r>
              <w:rPr>
                <w:rFonts w:hint="eastAsia" w:ascii="仿宋" w:hAnsi="仿宋" w:eastAsia="仿宋" w:cs="仿宋"/>
                <w:b/>
                <w:color w:val="auto"/>
                <w:sz w:val="36"/>
                <w:highlight w:val="none"/>
              </w:rPr>
              <w:t>：</w:t>
            </w:r>
          </w:p>
        </w:tc>
        <w:tc>
          <w:tcPr>
            <w:tcW w:w="6000" w:type="dxa"/>
            <w:tcBorders>
              <w:top w:val="single" w:color="auto" w:sz="4" w:space="0"/>
              <w:bottom w:val="single" w:color="auto" w:sz="4" w:space="0"/>
            </w:tcBorders>
            <w:noWrap w:val="0"/>
            <w:vAlign w:val="center"/>
          </w:tcPr>
          <w:p>
            <w:pPr>
              <w:shd w:val="clear"/>
              <w:spacing w:line="360" w:lineRule="auto"/>
              <w:jc w:val="center"/>
              <w:rPr>
                <w:rFonts w:hint="eastAsia" w:ascii="仿宋" w:hAnsi="仿宋" w:eastAsia="仿宋" w:cs="仿宋"/>
                <w:b/>
                <w:color w:val="auto"/>
                <w:sz w:val="36"/>
                <w:highlight w:val="none"/>
              </w:rPr>
            </w:pPr>
          </w:p>
        </w:tc>
      </w:tr>
    </w:tbl>
    <w:p>
      <w:pPr>
        <w:shd w:val="clear"/>
        <w:spacing w:line="360" w:lineRule="auto"/>
        <w:rPr>
          <w:rFonts w:hint="eastAsia" w:ascii="仿宋" w:hAnsi="仿宋" w:eastAsia="仿宋" w:cs="仿宋"/>
          <w:b/>
          <w:bCs/>
          <w:color w:val="auto"/>
          <w:sz w:val="36"/>
          <w:szCs w:val="36"/>
          <w:highlight w:val="none"/>
        </w:rPr>
      </w:pPr>
    </w:p>
    <w:p>
      <w:pPr>
        <w:pStyle w:val="6"/>
        <w:shd w:val="clear"/>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bCs/>
          <w:color w:val="auto"/>
          <w:sz w:val="36"/>
          <w:szCs w:val="36"/>
          <w:highlight w:val="none"/>
        </w:rPr>
        <w:br w:type="page"/>
      </w:r>
    </w:p>
    <w:p>
      <w:pPr>
        <w:widowControl/>
        <w:shd w:val="clear"/>
        <w:ind w:firstLine="2891" w:firstLineChars="900"/>
        <w:jc w:val="left"/>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val="en-US" w:eastAsia="zh-CN"/>
        </w:rPr>
        <w:t>格式一、</w:t>
      </w:r>
      <w:r>
        <w:rPr>
          <w:rFonts w:hint="eastAsia" w:ascii="仿宋" w:hAnsi="仿宋" w:eastAsia="仿宋" w:cs="仿宋"/>
          <w:b/>
          <w:color w:val="auto"/>
          <w:sz w:val="32"/>
          <w:szCs w:val="32"/>
          <w:highlight w:val="none"/>
          <w:lang w:eastAsia="zh-CN"/>
        </w:rPr>
        <w:t>投标</w:t>
      </w:r>
      <w:r>
        <w:rPr>
          <w:rFonts w:hint="eastAsia" w:ascii="仿宋" w:hAnsi="仿宋" w:eastAsia="仿宋" w:cs="仿宋"/>
          <w:b/>
          <w:color w:val="auto"/>
          <w:sz w:val="32"/>
          <w:szCs w:val="32"/>
          <w:highlight w:val="none"/>
        </w:rPr>
        <w:t>函</w:t>
      </w:r>
    </w:p>
    <w:p>
      <w:pPr>
        <w:shd w:val="clear"/>
        <w:spacing w:line="255" w:lineRule="auto"/>
        <w:rPr>
          <w:rFonts w:hint="eastAsia" w:ascii="仿宋" w:hAnsi="仿宋" w:eastAsia="仿宋" w:cs="仿宋"/>
          <w:color w:val="auto"/>
          <w:sz w:val="24"/>
          <w:szCs w:val="24"/>
          <w:highlight w:val="none"/>
        </w:rPr>
      </w:pPr>
    </w:p>
    <w:p>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名称)</w:t>
      </w:r>
    </w:p>
    <w:p>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1、根据贵单位发布的</w:t>
      </w:r>
      <w:r>
        <w:rPr>
          <w:rFonts w:hint="eastAsia" w:ascii="仿宋" w:hAnsi="仿宋" w:eastAsia="仿宋" w:cs="仿宋"/>
          <w:color w:val="auto"/>
          <w:sz w:val="24"/>
          <w:szCs w:val="24"/>
          <w:highlight w:val="none"/>
          <w:lang w:val="en-US" w:eastAsia="zh-CN"/>
        </w:rPr>
        <w:t>竞争性谈判</w:t>
      </w:r>
      <w:r>
        <w:rPr>
          <w:rFonts w:hint="eastAsia" w:ascii="仿宋" w:hAnsi="仿宋" w:eastAsia="仿宋" w:cs="仿宋"/>
          <w:color w:val="auto"/>
          <w:sz w:val="24"/>
          <w:szCs w:val="24"/>
          <w:highlight w:val="none"/>
        </w:rPr>
        <w:t>公告和</w:t>
      </w:r>
      <w:r>
        <w:rPr>
          <w:rFonts w:hint="eastAsia" w:ascii="仿宋" w:hAnsi="仿宋" w:eastAsia="仿宋" w:cs="仿宋"/>
          <w:color w:val="auto"/>
          <w:sz w:val="24"/>
          <w:szCs w:val="24"/>
          <w:highlight w:val="none"/>
          <w:lang w:val="en-US" w:eastAsia="zh-CN"/>
        </w:rPr>
        <w:t>竞争性谈判</w:t>
      </w:r>
      <w:r>
        <w:rPr>
          <w:rFonts w:hint="eastAsia" w:ascii="仿宋" w:hAnsi="仿宋" w:eastAsia="仿宋" w:cs="仿宋"/>
          <w:color w:val="auto"/>
          <w:sz w:val="24"/>
          <w:szCs w:val="24"/>
          <w:highlight w:val="none"/>
        </w:rPr>
        <w:t>文件，我们决定参加你们组织的“</w:t>
      </w:r>
      <w:r>
        <w:rPr>
          <w:rFonts w:hint="eastAsia" w:ascii="仿宋" w:hAnsi="仿宋" w:eastAsia="仿宋" w:cs="仿宋"/>
          <w:color w:val="auto"/>
          <w:sz w:val="24"/>
          <w:szCs w:val="24"/>
          <w:highlight w:val="none"/>
          <w:u w:val="single"/>
        </w:rPr>
        <w:t xml:space="preserve">       （填写项目名称）          </w:t>
      </w:r>
      <w:r>
        <w:rPr>
          <w:rFonts w:hint="eastAsia" w:ascii="仿宋" w:hAnsi="仿宋" w:eastAsia="仿宋" w:cs="仿宋"/>
          <w:color w:val="auto"/>
          <w:sz w:val="24"/>
          <w:szCs w:val="24"/>
          <w:highlight w:val="none"/>
        </w:rPr>
        <w:t>”项目的采购活动。</w:t>
      </w:r>
    </w:p>
    <w:p>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2、我方愿意按照</w:t>
      </w:r>
      <w:r>
        <w:rPr>
          <w:rFonts w:hint="eastAsia" w:ascii="仿宋" w:hAnsi="仿宋" w:eastAsia="仿宋" w:cs="仿宋"/>
          <w:color w:val="auto"/>
          <w:sz w:val="24"/>
          <w:szCs w:val="24"/>
          <w:highlight w:val="none"/>
          <w:lang w:eastAsia="zh-CN"/>
        </w:rPr>
        <w:t>竞争性谈判文件</w:t>
      </w:r>
      <w:r>
        <w:rPr>
          <w:rFonts w:hint="eastAsia" w:ascii="仿宋" w:hAnsi="仿宋" w:eastAsia="仿宋" w:cs="仿宋"/>
          <w:color w:val="auto"/>
          <w:sz w:val="24"/>
          <w:szCs w:val="24"/>
          <w:highlight w:val="none"/>
        </w:rPr>
        <w:t>规定的各项要求，拟派本项目负责人为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，向</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提供所需的服务，投标</w:t>
      </w:r>
      <w:r>
        <w:rPr>
          <w:rFonts w:hint="eastAsia" w:ascii="仿宋" w:hAnsi="仿宋" w:eastAsia="仿宋" w:cs="仿宋"/>
          <w:color w:val="auto"/>
          <w:sz w:val="24"/>
          <w:szCs w:val="24"/>
          <w:highlight w:val="none"/>
          <w:lang w:val="en-US" w:eastAsia="zh-CN"/>
        </w:rPr>
        <w:t>报价</w:t>
      </w:r>
      <w:r>
        <w:rPr>
          <w:rFonts w:hint="eastAsia" w:ascii="仿宋" w:hAnsi="仿宋" w:eastAsia="仿宋" w:cs="仿宋"/>
          <w:color w:val="auto"/>
          <w:sz w:val="24"/>
          <w:szCs w:val="24"/>
          <w:highlight w:val="none"/>
        </w:rPr>
        <w:t xml:space="preserve">为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元</w:t>
      </w:r>
      <w:r>
        <w:rPr>
          <w:rFonts w:hint="eastAsia" w:ascii="仿宋" w:hAnsi="仿宋" w:eastAsia="仿宋" w:cs="仿宋"/>
          <w:color w:val="auto"/>
          <w:sz w:val="24"/>
          <w:szCs w:val="24"/>
          <w:highlight w:val="none"/>
        </w:rPr>
        <w:t>，服务期：</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。服务质量符合</w:t>
      </w:r>
      <w:r>
        <w:rPr>
          <w:rFonts w:hint="eastAsia" w:ascii="仿宋" w:hAnsi="仿宋" w:eastAsia="仿宋" w:cs="仿宋"/>
          <w:color w:val="auto"/>
          <w:sz w:val="24"/>
          <w:szCs w:val="24"/>
          <w:highlight w:val="none"/>
          <w:u w:val="single"/>
          <w:lang w:val="en-US" w:eastAsia="zh-CN"/>
        </w:rPr>
        <w:t>合格</w:t>
      </w:r>
      <w:r>
        <w:rPr>
          <w:rFonts w:hint="eastAsia" w:ascii="仿宋" w:hAnsi="仿宋" w:eastAsia="仿宋" w:cs="仿宋"/>
          <w:color w:val="auto"/>
          <w:sz w:val="24"/>
          <w:szCs w:val="24"/>
          <w:highlight w:val="none"/>
        </w:rPr>
        <w:t xml:space="preserve">标准。 </w:t>
      </w:r>
    </w:p>
    <w:p>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3、一旦我方中标， 我方将严格履行合同规定的责任和义务，保证于合同签字生效后，按规定完成项目交付</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验收。我方同意</w:t>
      </w:r>
      <w:r>
        <w:rPr>
          <w:rFonts w:hint="eastAsia" w:ascii="仿宋" w:hAnsi="仿宋" w:eastAsia="仿宋" w:cs="仿宋"/>
          <w:color w:val="auto"/>
          <w:sz w:val="24"/>
          <w:szCs w:val="24"/>
          <w:highlight w:val="none"/>
          <w:lang w:eastAsia="zh-CN"/>
        </w:rPr>
        <w:t>竞争性谈判文件</w:t>
      </w:r>
      <w:r>
        <w:rPr>
          <w:rFonts w:hint="eastAsia" w:ascii="仿宋" w:hAnsi="仿宋" w:eastAsia="仿宋" w:cs="仿宋"/>
          <w:color w:val="auto"/>
          <w:sz w:val="24"/>
          <w:szCs w:val="24"/>
          <w:highlight w:val="none"/>
        </w:rPr>
        <w:t>的支付条件及合同全部条款。</w:t>
      </w:r>
    </w:p>
    <w:p>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4、投标有效期为自投标截止之日起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日历天；我方承诺完全响应</w:t>
      </w:r>
      <w:r>
        <w:rPr>
          <w:rFonts w:hint="eastAsia" w:ascii="仿宋" w:hAnsi="仿宋" w:eastAsia="仿宋" w:cs="仿宋"/>
          <w:color w:val="auto"/>
          <w:sz w:val="24"/>
          <w:szCs w:val="24"/>
          <w:highlight w:val="none"/>
          <w:lang w:eastAsia="zh-CN"/>
        </w:rPr>
        <w:t>竞争性谈判文件</w:t>
      </w:r>
      <w:r>
        <w:rPr>
          <w:rFonts w:hint="eastAsia" w:ascii="仿宋" w:hAnsi="仿宋" w:eastAsia="仿宋" w:cs="仿宋"/>
          <w:color w:val="auto"/>
          <w:sz w:val="24"/>
          <w:szCs w:val="24"/>
          <w:highlight w:val="none"/>
        </w:rPr>
        <w:t>及补充、澄清、修改文件中的全部内容。</w:t>
      </w:r>
    </w:p>
    <w:p>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5、我方为本项目提交的投标文件符合</w:t>
      </w:r>
      <w:r>
        <w:rPr>
          <w:rFonts w:hint="eastAsia" w:ascii="仿宋" w:hAnsi="仿宋" w:eastAsia="仿宋" w:cs="仿宋"/>
          <w:color w:val="auto"/>
          <w:sz w:val="24"/>
          <w:szCs w:val="24"/>
          <w:highlight w:val="none"/>
          <w:lang w:eastAsia="zh-CN"/>
        </w:rPr>
        <w:t>竞争性谈判文件</w:t>
      </w:r>
      <w:r>
        <w:rPr>
          <w:rFonts w:hint="eastAsia" w:ascii="仿宋" w:hAnsi="仿宋" w:eastAsia="仿宋" w:cs="仿宋"/>
          <w:color w:val="auto"/>
          <w:sz w:val="24"/>
          <w:szCs w:val="24"/>
          <w:highlight w:val="none"/>
        </w:rPr>
        <w:t>要求。</w:t>
      </w:r>
    </w:p>
    <w:p>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6、我方愿意提供</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可能另外要求的、与投标有关的文件资料， 并保证我方已提供</w:t>
      </w:r>
    </w:p>
    <w:p>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和将要提供的文件是真实的、准确的。</w:t>
      </w:r>
    </w:p>
    <w:p>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7、我方完全理解你们不一定将合同授予最低报价的投标人。</w:t>
      </w:r>
    </w:p>
    <w:p>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、我方为本项目提交的投标文件符合</w:t>
      </w:r>
      <w:r>
        <w:rPr>
          <w:rFonts w:hint="eastAsia" w:ascii="仿宋" w:hAnsi="仿宋" w:eastAsia="仿宋" w:cs="仿宋"/>
          <w:color w:val="auto"/>
          <w:sz w:val="24"/>
          <w:szCs w:val="24"/>
          <w:highlight w:val="none"/>
          <w:lang w:eastAsia="zh-CN"/>
        </w:rPr>
        <w:t>竞争性谈判文件</w:t>
      </w:r>
      <w:r>
        <w:rPr>
          <w:rFonts w:hint="eastAsia" w:ascii="仿宋" w:hAnsi="仿宋" w:eastAsia="仿宋" w:cs="仿宋"/>
          <w:color w:val="auto"/>
          <w:sz w:val="24"/>
          <w:szCs w:val="24"/>
          <w:highlight w:val="none"/>
        </w:rPr>
        <w:t>要求。我方在此声明，所递交的投标文件及有关资料内容完整、真实和准确。</w:t>
      </w:r>
    </w:p>
    <w:p>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我方承诺在</w:t>
      </w:r>
      <w:r>
        <w:rPr>
          <w:rFonts w:hint="eastAsia" w:ascii="仿宋" w:hAnsi="仿宋" w:eastAsia="仿宋" w:cs="仿宋"/>
          <w:color w:val="auto"/>
          <w:sz w:val="24"/>
          <w:szCs w:val="24"/>
          <w:highlight w:val="none"/>
          <w:lang w:eastAsia="zh-CN"/>
        </w:rPr>
        <w:t>竞争性谈判文件</w:t>
      </w:r>
      <w:r>
        <w:rPr>
          <w:rFonts w:hint="eastAsia" w:ascii="仿宋" w:hAnsi="仿宋" w:eastAsia="仿宋" w:cs="仿宋"/>
          <w:color w:val="auto"/>
          <w:sz w:val="24"/>
          <w:szCs w:val="24"/>
          <w:highlight w:val="none"/>
        </w:rPr>
        <w:t>规定的投标有效期内不修改、撤销投标文件。</w:t>
      </w:r>
    </w:p>
    <w:p>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、如我方中标：</w:t>
      </w:r>
    </w:p>
    <w:p>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（1）我方承诺在收到中标通知书后，在中标通知书规定的期限内与你方签订合同；</w:t>
      </w:r>
    </w:p>
    <w:p>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（2）在签订合同时不向你方提出附加条件；</w:t>
      </w:r>
    </w:p>
    <w:p>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（3）我方承诺按照</w:t>
      </w:r>
      <w:r>
        <w:rPr>
          <w:rFonts w:hint="eastAsia" w:ascii="仿宋" w:hAnsi="仿宋" w:eastAsia="仿宋" w:cs="仿宋"/>
          <w:color w:val="auto"/>
          <w:sz w:val="24"/>
          <w:szCs w:val="24"/>
          <w:highlight w:val="none"/>
          <w:lang w:eastAsia="zh-CN"/>
        </w:rPr>
        <w:t>竞争性谈判文件</w:t>
      </w:r>
      <w:r>
        <w:rPr>
          <w:rFonts w:hint="eastAsia" w:ascii="仿宋" w:hAnsi="仿宋" w:eastAsia="仿宋" w:cs="仿宋"/>
          <w:color w:val="auto"/>
          <w:sz w:val="24"/>
          <w:szCs w:val="24"/>
          <w:highlight w:val="none"/>
        </w:rPr>
        <w:t>规定向你方递交履约保证金；</w:t>
      </w:r>
    </w:p>
    <w:p>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（4）我方承诺在合同约定的期限内提供并交付货物及服务，履行合同规定的各项权利</w:t>
      </w:r>
    </w:p>
    <w:p>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义务。</w:t>
      </w:r>
    </w:p>
    <w:p>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投标人名称：  （公章） </w:t>
      </w:r>
    </w:p>
    <w:p>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通讯地址：</w:t>
      </w:r>
    </w:p>
    <w:p>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p>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p>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p>
      <w:pPr>
        <w:shd w:val="clear"/>
        <w:spacing w:line="360" w:lineRule="auto"/>
        <w:jc w:val="center"/>
        <w:rPr>
          <w:rFonts w:hint="eastAsia" w:ascii="仿宋" w:hAnsi="仿宋" w:eastAsia="仿宋" w:cs="仿宋"/>
          <w:b/>
          <w:bCs/>
          <w:color w:val="auto"/>
          <w:sz w:val="24"/>
          <w:szCs w:val="24"/>
          <w:highlight w:val="none"/>
          <w:lang w:val="en-US" w:eastAsia="zh-CN"/>
        </w:rPr>
      </w:pPr>
    </w:p>
    <w:p>
      <w:pPr>
        <w:shd w:val="clear"/>
        <w:spacing w:line="360" w:lineRule="auto"/>
        <w:jc w:val="center"/>
        <w:rPr>
          <w:rFonts w:hint="eastAsia" w:ascii="仿宋" w:hAnsi="仿宋" w:eastAsia="仿宋" w:cs="仿宋"/>
          <w:b/>
          <w:bCs/>
          <w:color w:val="auto"/>
          <w:sz w:val="24"/>
          <w:szCs w:val="24"/>
          <w:highlight w:val="none"/>
          <w:lang w:val="en-US" w:eastAsia="zh-CN"/>
        </w:rPr>
      </w:pPr>
    </w:p>
    <w:p>
      <w:pPr>
        <w:shd w:val="clear"/>
        <w:spacing w:line="360" w:lineRule="auto"/>
        <w:jc w:val="center"/>
        <w:rPr>
          <w:rFonts w:hint="eastAsia" w:ascii="仿宋" w:hAnsi="仿宋" w:eastAsia="仿宋" w:cs="仿宋"/>
          <w:b/>
          <w:bCs/>
          <w:color w:val="auto"/>
          <w:sz w:val="24"/>
          <w:szCs w:val="24"/>
          <w:highlight w:val="none"/>
          <w:lang w:val="en-US" w:eastAsia="zh-CN"/>
        </w:rPr>
      </w:pPr>
    </w:p>
    <w:p>
      <w:pPr>
        <w:widowControl/>
        <w:shd w:val="clear"/>
        <w:ind w:firstLine="2891" w:firstLineChars="900"/>
        <w:jc w:val="left"/>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格式二、法定代表人授权委托书</w:t>
      </w:r>
    </w:p>
    <w:p>
      <w:pPr>
        <w:shd w:val="clear"/>
        <w:spacing w:line="460" w:lineRule="exact"/>
        <w:rPr>
          <w:rFonts w:hint="eastAsia" w:ascii="仿宋" w:hAnsi="仿宋" w:eastAsia="仿宋" w:cs="仿宋"/>
          <w:color w:val="auto"/>
          <w:sz w:val="24"/>
          <w:szCs w:val="24"/>
          <w:highlight w:val="none"/>
        </w:rPr>
      </w:pPr>
    </w:p>
    <w:p>
      <w:pPr>
        <w:shd w:val="clear"/>
        <w:spacing w:line="46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（采购人）：</w:t>
      </w:r>
    </w:p>
    <w:p>
      <w:pPr>
        <w:shd w:val="clear"/>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（供应商全称）法人代表授权</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（供应商代表姓名）为供应商代表，参加贵单位组织的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（项目名称）项目（招标编号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）招标活动，全权代表我方处理招标活动的一切事宜。</w:t>
      </w:r>
    </w:p>
    <w:p>
      <w:pPr>
        <w:shd w:val="clear"/>
        <w:spacing w:line="460" w:lineRule="exact"/>
        <w:rPr>
          <w:rFonts w:hint="eastAsia" w:ascii="仿宋" w:hAnsi="仿宋" w:eastAsia="仿宋" w:cs="仿宋"/>
          <w:color w:val="auto"/>
          <w:sz w:val="24"/>
          <w:szCs w:val="24"/>
          <w:highlight w:val="none"/>
        </w:rPr>
      </w:pPr>
    </w:p>
    <w:p>
      <w:pPr>
        <w:shd w:val="clear"/>
        <w:spacing w:line="460" w:lineRule="exact"/>
        <w:rPr>
          <w:rFonts w:hint="eastAsia" w:ascii="仿宋" w:hAnsi="仿宋" w:eastAsia="仿宋" w:cs="仿宋"/>
          <w:color w:val="auto"/>
          <w:sz w:val="24"/>
          <w:szCs w:val="24"/>
          <w:highlight w:val="none"/>
        </w:rPr>
      </w:pPr>
    </w:p>
    <w:p>
      <w:pPr>
        <w:shd w:val="clear"/>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法定代表人（签字或盖章）：</w:t>
      </w:r>
    </w:p>
    <w:p>
      <w:pPr>
        <w:shd w:val="clear"/>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供应商名称（公章）：</w:t>
      </w:r>
    </w:p>
    <w:p>
      <w:pPr>
        <w:shd w:val="clear"/>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日期：</w:t>
      </w:r>
    </w:p>
    <w:p>
      <w:pPr>
        <w:shd w:val="clear"/>
        <w:spacing w:line="460" w:lineRule="exact"/>
        <w:rPr>
          <w:rFonts w:hint="eastAsia" w:ascii="仿宋" w:hAnsi="仿宋" w:eastAsia="仿宋" w:cs="仿宋"/>
          <w:color w:val="auto"/>
          <w:spacing w:val="20"/>
          <w:sz w:val="24"/>
          <w:szCs w:val="24"/>
          <w:highlight w:val="none"/>
        </w:rPr>
      </w:pPr>
    </w:p>
    <w:p>
      <w:pPr>
        <w:shd w:val="clear"/>
        <w:spacing w:line="4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附：</w:t>
      </w:r>
      <w:r>
        <w:rPr>
          <w:rFonts w:hint="eastAsia" w:ascii="仿宋" w:hAnsi="仿宋" w:eastAsia="仿宋" w:cs="仿宋"/>
          <w:color w:val="auto"/>
          <w:sz w:val="24"/>
          <w:szCs w:val="24"/>
          <w:highlight w:val="none"/>
          <w:lang w:val="en-US" w:eastAsia="zh-CN"/>
        </w:rPr>
        <w:t>法定代表人及授权委托人身份证正反面</w:t>
      </w:r>
    </w:p>
    <w:p>
      <w:pPr>
        <w:pStyle w:val="130"/>
        <w:shd w:val="clea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附：法定代表人身份证明</w:t>
      </w:r>
    </w:p>
    <w:p>
      <w:pPr>
        <w:shd w:val="clear"/>
        <w:rPr>
          <w:rFonts w:hint="eastAsia" w:ascii="仿宋" w:hAnsi="仿宋" w:eastAsia="仿宋" w:cs="仿宋"/>
          <w:color w:val="auto"/>
          <w:sz w:val="24"/>
          <w:szCs w:val="24"/>
          <w:highlight w:val="none"/>
          <w:lang w:val="en-US" w:eastAsia="zh-CN"/>
        </w:rPr>
      </w:pPr>
    </w:p>
    <w:p>
      <w:pPr>
        <w:pStyle w:val="130"/>
        <w:shd w:val="clear"/>
        <w:rPr>
          <w:rFonts w:hint="eastAsia" w:ascii="仿宋" w:hAnsi="仿宋" w:eastAsia="仿宋" w:cs="仿宋"/>
          <w:color w:val="auto"/>
          <w:highlight w:val="none"/>
          <w:lang w:val="en-US" w:eastAsia="zh-CN"/>
        </w:rPr>
      </w:pPr>
    </w:p>
    <w:p>
      <w:pPr>
        <w:shd w:val="clear"/>
        <w:spacing w:line="560" w:lineRule="exact"/>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委托代理人姓名：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shd w:val="clear"/>
        <w:spacing w:line="560" w:lineRule="exact"/>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          务：</w:t>
      </w:r>
      <w:r>
        <w:rPr>
          <w:rFonts w:hint="eastAsia" w:ascii="仿宋" w:hAnsi="仿宋" w:eastAsia="仿宋" w:cs="仿宋"/>
          <w:color w:val="auto"/>
          <w:sz w:val="24"/>
          <w:szCs w:val="24"/>
          <w:highlight w:val="none"/>
          <w:u w:val="single"/>
        </w:rPr>
        <w:t xml:space="preserve">                       </w:t>
      </w:r>
    </w:p>
    <w:p>
      <w:pPr>
        <w:shd w:val="clear"/>
        <w:spacing w:line="560" w:lineRule="exact"/>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详细通讯地址：  </w:t>
      </w:r>
      <w:r>
        <w:rPr>
          <w:rFonts w:hint="eastAsia" w:ascii="仿宋" w:hAnsi="仿宋" w:eastAsia="仿宋" w:cs="仿宋"/>
          <w:color w:val="auto"/>
          <w:sz w:val="24"/>
          <w:szCs w:val="24"/>
          <w:highlight w:val="none"/>
          <w:u w:val="single"/>
        </w:rPr>
        <w:t xml:space="preserve">                       </w:t>
      </w:r>
    </w:p>
    <w:p>
      <w:pPr>
        <w:shd w:val="clear"/>
        <w:spacing w:line="560" w:lineRule="exact"/>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  政  编  码：</w:t>
      </w:r>
      <w:r>
        <w:rPr>
          <w:rFonts w:hint="eastAsia" w:ascii="仿宋" w:hAnsi="仿宋" w:eastAsia="仿宋" w:cs="仿宋"/>
          <w:color w:val="auto"/>
          <w:sz w:val="24"/>
          <w:szCs w:val="24"/>
          <w:highlight w:val="none"/>
          <w:u w:val="single"/>
        </w:rPr>
        <w:t xml:space="preserve">                       </w:t>
      </w:r>
    </w:p>
    <w:p>
      <w:pPr>
        <w:shd w:val="clear"/>
        <w:spacing w:line="560" w:lineRule="exact"/>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w:t>
      </w:r>
      <w:r>
        <w:rPr>
          <w:rFonts w:hint="eastAsia" w:ascii="仿宋" w:hAnsi="仿宋" w:eastAsia="仿宋" w:cs="仿宋"/>
          <w:color w:val="auto"/>
          <w:sz w:val="24"/>
          <w:szCs w:val="24"/>
          <w:highlight w:val="none"/>
          <w:u w:val="single"/>
        </w:rPr>
        <w:t xml:space="preserve">                       </w:t>
      </w:r>
    </w:p>
    <w:p>
      <w:pPr>
        <w:shd w:val="clear"/>
        <w:spacing w:line="560" w:lineRule="exact"/>
        <w:ind w:firstLine="482"/>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u w:val="single"/>
        </w:rPr>
        <w:t xml:space="preserve">                       </w:t>
      </w:r>
    </w:p>
    <w:p>
      <w:pPr>
        <w:shd w:val="clear"/>
        <w:spacing w:line="440" w:lineRule="exact"/>
        <w:ind w:firstLine="470" w:firstLineChars="196"/>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电  子  信  箱：</w:t>
      </w:r>
      <w:r>
        <w:rPr>
          <w:rFonts w:hint="eastAsia" w:ascii="仿宋" w:hAnsi="仿宋" w:eastAsia="仿宋" w:cs="仿宋"/>
          <w:color w:val="auto"/>
          <w:sz w:val="24"/>
          <w:szCs w:val="24"/>
          <w:highlight w:val="none"/>
          <w:u w:val="single"/>
        </w:rPr>
        <w:t xml:space="preserve">                       </w:t>
      </w:r>
    </w:p>
    <w:p>
      <w:pPr>
        <w:shd w:val="clear"/>
        <w:spacing w:line="440" w:lineRule="exact"/>
        <w:jc w:val="center"/>
        <w:rPr>
          <w:rFonts w:hint="eastAsia" w:ascii="仿宋" w:hAnsi="仿宋" w:eastAsia="仿宋" w:cs="仿宋"/>
          <w:b/>
          <w:bCs/>
          <w:color w:val="auto"/>
          <w:sz w:val="24"/>
          <w:szCs w:val="24"/>
          <w:highlight w:val="none"/>
        </w:rPr>
      </w:pPr>
    </w:p>
    <w:p>
      <w:pPr>
        <w:shd w:val="clear"/>
        <w:spacing w:line="460" w:lineRule="exact"/>
        <w:rPr>
          <w:rFonts w:hint="eastAsia" w:ascii="仿宋" w:hAnsi="仿宋" w:eastAsia="仿宋" w:cs="仿宋"/>
          <w:color w:val="auto"/>
          <w:sz w:val="24"/>
          <w:szCs w:val="24"/>
          <w:highlight w:val="none"/>
        </w:rPr>
      </w:pPr>
    </w:p>
    <w:p>
      <w:pPr>
        <w:shd w:val="clea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shd w:val="clear"/>
        <w:spacing w:line="460" w:lineRule="exact"/>
        <w:rPr>
          <w:rFonts w:hint="eastAsia" w:ascii="仿宋" w:hAnsi="仿宋" w:eastAsia="仿宋" w:cs="仿宋"/>
          <w:color w:val="auto"/>
          <w:sz w:val="24"/>
          <w:szCs w:val="24"/>
          <w:highlight w:val="none"/>
        </w:rPr>
      </w:pPr>
    </w:p>
    <w:p>
      <w:pPr>
        <w:widowControl/>
        <w:shd w:val="clear"/>
        <w:ind w:firstLine="2891" w:firstLineChars="900"/>
        <w:jc w:val="left"/>
        <w:rPr>
          <w:rFonts w:hint="eastAsia" w:ascii="仿宋" w:hAnsi="仿宋" w:eastAsia="仿宋" w:cs="仿宋"/>
          <w:color w:val="auto"/>
          <w:sz w:val="24"/>
          <w:szCs w:val="24"/>
          <w:highlight w:val="none"/>
        </w:rPr>
      </w:pPr>
      <w:r>
        <w:rPr>
          <w:rFonts w:hint="eastAsia" w:ascii="仿宋" w:hAnsi="仿宋" w:eastAsia="仿宋" w:cs="仿宋"/>
          <w:b/>
          <w:color w:val="auto"/>
          <w:sz w:val="32"/>
          <w:szCs w:val="32"/>
          <w:highlight w:val="none"/>
          <w:lang w:val="en-US" w:eastAsia="zh-CN"/>
        </w:rPr>
        <w:t>法定代表人身份证明</w:t>
      </w:r>
    </w:p>
    <w:p>
      <w:pPr>
        <w:shd w:val="clear"/>
        <w:spacing w:line="360" w:lineRule="auto"/>
        <w:jc w:val="center"/>
        <w:rPr>
          <w:rFonts w:hint="eastAsia" w:ascii="仿宋" w:hAnsi="仿宋" w:eastAsia="仿宋" w:cs="仿宋"/>
          <w:color w:val="auto"/>
          <w:sz w:val="24"/>
          <w:szCs w:val="24"/>
          <w:highlight w:val="none"/>
        </w:rPr>
      </w:pPr>
    </w:p>
    <w:p>
      <w:pPr>
        <w:shd w:val="clear"/>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单位名称：</w:t>
      </w:r>
      <w:r>
        <w:rPr>
          <w:rFonts w:hint="eastAsia" w:ascii="仿宋" w:hAnsi="仿宋" w:eastAsia="仿宋" w:cs="仿宋"/>
          <w:color w:val="auto"/>
          <w:sz w:val="24"/>
          <w:szCs w:val="24"/>
          <w:highlight w:val="none"/>
          <w:u w:val="single"/>
        </w:rPr>
        <w:t xml:space="preserve">                                           </w:t>
      </w:r>
    </w:p>
    <w:p>
      <w:pPr>
        <w:shd w:val="clear"/>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单位性质：</w:t>
      </w:r>
      <w:r>
        <w:rPr>
          <w:rFonts w:hint="eastAsia" w:ascii="仿宋" w:hAnsi="仿宋" w:eastAsia="仿宋" w:cs="仿宋"/>
          <w:color w:val="auto"/>
          <w:sz w:val="24"/>
          <w:szCs w:val="24"/>
          <w:highlight w:val="none"/>
          <w:u w:val="single"/>
        </w:rPr>
        <w:t xml:space="preserve">                                           </w:t>
      </w:r>
    </w:p>
    <w:p>
      <w:pPr>
        <w:shd w:val="clear"/>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single"/>
        </w:rPr>
        <w:t xml:space="preserve">                                           </w:t>
      </w:r>
    </w:p>
    <w:p>
      <w:pPr>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成立时间：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月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日</w:t>
      </w:r>
    </w:p>
    <w:p>
      <w:pPr>
        <w:shd w:val="clear"/>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经营期限：</w:t>
      </w:r>
      <w:r>
        <w:rPr>
          <w:rFonts w:hint="eastAsia" w:ascii="仿宋" w:hAnsi="仿宋" w:eastAsia="仿宋" w:cs="仿宋"/>
          <w:color w:val="auto"/>
          <w:sz w:val="24"/>
          <w:szCs w:val="24"/>
          <w:highlight w:val="none"/>
          <w:u w:val="single"/>
        </w:rPr>
        <w:t xml:space="preserve">                                           </w:t>
      </w:r>
    </w:p>
    <w:p>
      <w:pPr>
        <w:shd w:val="clear"/>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姓    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性别： </w:t>
      </w:r>
      <w:r>
        <w:rPr>
          <w:rFonts w:hint="eastAsia" w:ascii="仿宋" w:hAnsi="仿宋" w:eastAsia="仿宋" w:cs="仿宋"/>
          <w:color w:val="auto"/>
          <w:sz w:val="24"/>
          <w:szCs w:val="24"/>
          <w:highlight w:val="none"/>
          <w:u w:val="single"/>
        </w:rPr>
        <w:t xml:space="preserve">                   </w:t>
      </w:r>
    </w:p>
    <w:p>
      <w:pPr>
        <w:shd w:val="clear"/>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年    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职务： </w:t>
      </w:r>
      <w:r>
        <w:rPr>
          <w:rFonts w:hint="eastAsia" w:ascii="仿宋" w:hAnsi="仿宋" w:eastAsia="仿宋" w:cs="仿宋"/>
          <w:color w:val="auto"/>
          <w:sz w:val="24"/>
          <w:szCs w:val="24"/>
          <w:highlight w:val="none"/>
          <w:u w:val="single"/>
        </w:rPr>
        <w:t xml:space="preserve">                   </w:t>
      </w:r>
    </w:p>
    <w:p>
      <w:pPr>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（供应商单位名称）             </w:t>
      </w:r>
      <w:r>
        <w:rPr>
          <w:rFonts w:hint="eastAsia" w:ascii="仿宋" w:hAnsi="仿宋" w:eastAsia="仿宋" w:cs="仿宋"/>
          <w:color w:val="auto"/>
          <w:sz w:val="24"/>
          <w:szCs w:val="24"/>
          <w:highlight w:val="none"/>
        </w:rPr>
        <w:t>的法定代表人。</w:t>
      </w:r>
    </w:p>
    <w:p>
      <w:pPr>
        <w:shd w:val="clear"/>
        <w:spacing w:line="360" w:lineRule="auto"/>
        <w:ind w:firstLine="480" w:firstLineChars="200"/>
        <w:rPr>
          <w:rFonts w:hint="eastAsia" w:ascii="仿宋" w:hAnsi="仿宋" w:eastAsia="仿宋" w:cs="仿宋"/>
          <w:color w:val="auto"/>
          <w:sz w:val="24"/>
          <w:szCs w:val="24"/>
          <w:highlight w:val="none"/>
        </w:rPr>
      </w:pPr>
    </w:p>
    <w:p>
      <w:pPr>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pPr>
        <w:shd w:val="clear"/>
        <w:spacing w:line="360" w:lineRule="auto"/>
        <w:ind w:firstLine="480" w:firstLineChars="200"/>
        <w:rPr>
          <w:rFonts w:hint="eastAsia" w:ascii="仿宋" w:hAnsi="仿宋" w:eastAsia="仿宋" w:cs="仿宋"/>
          <w:color w:val="auto"/>
          <w:sz w:val="24"/>
          <w:szCs w:val="24"/>
          <w:highlight w:val="none"/>
        </w:rPr>
      </w:pPr>
    </w:p>
    <w:p>
      <w:pPr>
        <w:shd w:val="clear"/>
        <w:spacing w:line="360" w:lineRule="auto"/>
        <w:ind w:firstLine="480" w:firstLineChars="200"/>
        <w:rPr>
          <w:rFonts w:hint="eastAsia" w:ascii="仿宋" w:hAnsi="仿宋" w:eastAsia="仿宋" w:cs="仿宋"/>
          <w:color w:val="auto"/>
          <w:sz w:val="24"/>
          <w:szCs w:val="24"/>
          <w:highlight w:val="none"/>
        </w:rPr>
      </w:pPr>
    </w:p>
    <w:p>
      <w:pPr>
        <w:shd w:val="clear"/>
        <w:spacing w:line="360" w:lineRule="auto"/>
        <w:ind w:right="48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w:t>
      </w:r>
      <w:r>
        <w:rPr>
          <w:rFonts w:hint="eastAsia" w:ascii="仿宋" w:hAnsi="仿宋" w:eastAsia="仿宋" w:cs="仿宋"/>
          <w:color w:val="auto"/>
          <w:sz w:val="24"/>
          <w:szCs w:val="24"/>
          <w:highlight w:val="none"/>
          <w:u w:val="single"/>
        </w:rPr>
        <w:t xml:space="preserve">             （盖公章）</w:t>
      </w:r>
    </w:p>
    <w:p>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shd w:val="clear"/>
        <w:autoSpaceDE w:val="0"/>
        <w:autoSpaceDN w:val="0"/>
        <w:adjustRightInd w:val="0"/>
        <w:spacing w:line="360" w:lineRule="auto"/>
        <w:jc w:val="both"/>
        <w:outlineLvl w:val="9"/>
        <w:rPr>
          <w:rFonts w:hint="eastAsia" w:ascii="仿宋" w:hAnsi="仿宋" w:eastAsia="仿宋" w:cs="仿宋"/>
          <w:b/>
          <w:color w:val="auto"/>
          <w:szCs w:val="21"/>
          <w:highlight w:val="none"/>
        </w:rPr>
        <w:sectPr>
          <w:headerReference r:id="rId3" w:type="default"/>
          <w:footerReference r:id="rId4" w:type="default"/>
          <w:pgSz w:w="11907" w:h="16840"/>
          <w:pgMar w:top="1134" w:right="1196" w:bottom="851" w:left="1247" w:header="851" w:footer="992" w:gutter="0"/>
          <w:pgNumType w:fmt="decimal"/>
          <w:cols w:space="720" w:num="1"/>
          <w:docGrid w:type="lines" w:linePitch="286" w:charSpace="0"/>
        </w:sectPr>
      </w:pPr>
    </w:p>
    <w:p>
      <w:pPr>
        <w:widowControl/>
        <w:shd w:val="clear"/>
        <w:ind w:firstLine="3212" w:firstLineChars="1000"/>
        <w:jc w:val="left"/>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格式三、开标一览表</w:t>
      </w:r>
    </w:p>
    <w:p>
      <w:pPr>
        <w:shd w:val="clear"/>
        <w:jc w:val="center"/>
        <w:rPr>
          <w:rFonts w:hint="eastAsia" w:ascii="仿宋" w:hAnsi="仿宋" w:eastAsia="仿宋" w:cs="仿宋"/>
          <w:color w:val="auto"/>
          <w:sz w:val="24"/>
          <w:szCs w:val="24"/>
          <w:highlight w:val="none"/>
        </w:rPr>
      </w:pPr>
    </w:p>
    <w:tbl>
      <w:tblPr>
        <w:tblStyle w:val="131"/>
        <w:tblW w:w="856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6"/>
        <w:gridCol w:w="2711"/>
        <w:gridCol w:w="51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36" w:type="dxa"/>
            <w:shd w:val="clear" w:color="auto" w:fill="D7D7D7"/>
            <w:vAlign w:val="top"/>
          </w:tcPr>
          <w:p>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711" w:type="dxa"/>
            <w:shd w:val="clear" w:color="auto" w:fill="D7D7D7"/>
            <w:vAlign w:val="top"/>
          </w:tcPr>
          <w:p>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tc>
        <w:tc>
          <w:tcPr>
            <w:tcW w:w="5114" w:type="dxa"/>
            <w:shd w:val="clear" w:color="auto" w:fill="D7D7D7"/>
            <w:vAlign w:val="top"/>
          </w:tcPr>
          <w:p>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736" w:type="dxa"/>
            <w:vAlign w:val="top"/>
          </w:tcPr>
          <w:p>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711" w:type="dxa"/>
            <w:vAlign w:val="top"/>
          </w:tcPr>
          <w:p>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5114" w:type="dxa"/>
            <w:vAlign w:val="top"/>
          </w:tcPr>
          <w:p>
            <w:pPr>
              <w:shd w:val="clear"/>
              <w:jc w:val="center"/>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736" w:type="dxa"/>
            <w:vAlign w:val="top"/>
          </w:tcPr>
          <w:p>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711" w:type="dxa"/>
            <w:vAlign w:val="top"/>
          </w:tcPr>
          <w:p>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tc>
        <w:tc>
          <w:tcPr>
            <w:tcW w:w="5114" w:type="dxa"/>
            <w:vAlign w:val="top"/>
          </w:tcPr>
          <w:p>
            <w:pPr>
              <w:shd w:val="clear"/>
              <w:jc w:val="center"/>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736" w:type="dxa"/>
            <w:vAlign w:val="center"/>
          </w:tcPr>
          <w:p>
            <w:pPr>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2711" w:type="dxa"/>
            <w:vAlign w:val="center"/>
          </w:tcPr>
          <w:p>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p>
        </w:tc>
        <w:tc>
          <w:tcPr>
            <w:tcW w:w="5114" w:type="dxa"/>
            <w:vAlign w:val="center"/>
          </w:tcPr>
          <w:p>
            <w:pPr>
              <w:shd w:val="clear"/>
              <w:jc w:val="center"/>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736" w:type="dxa"/>
            <w:vAlign w:val="center"/>
          </w:tcPr>
          <w:p>
            <w:pPr>
              <w:shd w:val="clear"/>
              <w:jc w:val="center"/>
              <w:rPr>
                <w:rFonts w:hint="eastAsia" w:ascii="仿宋" w:hAnsi="仿宋" w:eastAsia="仿宋" w:cs="仿宋"/>
                <w:color w:val="auto"/>
                <w:sz w:val="24"/>
                <w:szCs w:val="24"/>
                <w:highlight w:val="none"/>
              </w:rPr>
            </w:pPr>
          </w:p>
          <w:p>
            <w:pPr>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2711" w:type="dxa"/>
            <w:vAlign w:val="center"/>
          </w:tcPr>
          <w:p>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报价</w:t>
            </w:r>
          </w:p>
        </w:tc>
        <w:tc>
          <w:tcPr>
            <w:tcW w:w="5114" w:type="dxa"/>
            <w:vAlign w:val="center"/>
          </w:tcPr>
          <w:p>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人民币小写（元）：</w:t>
            </w:r>
          </w:p>
          <w:p>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人民币大写（元）：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736" w:type="dxa"/>
            <w:vAlign w:val="center"/>
          </w:tcPr>
          <w:p>
            <w:pPr>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2711" w:type="dxa"/>
            <w:vAlign w:val="center"/>
          </w:tcPr>
          <w:p>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服务期</w:t>
            </w:r>
          </w:p>
        </w:tc>
        <w:tc>
          <w:tcPr>
            <w:tcW w:w="5114" w:type="dxa"/>
            <w:vAlign w:val="center"/>
          </w:tcPr>
          <w:p>
            <w:pPr>
              <w:shd w:val="clear"/>
              <w:jc w:val="left"/>
              <w:rPr>
                <w:rFonts w:hint="default" w:ascii="仿宋" w:hAnsi="仿宋" w:eastAsia="仿宋" w:cs="仿宋"/>
                <w:color w:val="auto"/>
                <w:sz w:val="24"/>
                <w:szCs w:val="24"/>
                <w:highlight w:val="none"/>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736" w:type="dxa"/>
            <w:vAlign w:val="center"/>
          </w:tcPr>
          <w:p>
            <w:pPr>
              <w:shd w:val="clear"/>
              <w:jc w:val="center"/>
              <w:rPr>
                <w:rFonts w:hint="eastAsia" w:ascii="仿宋" w:hAnsi="仿宋" w:eastAsia="仿宋" w:cs="仿宋"/>
                <w:color w:val="auto"/>
                <w:sz w:val="24"/>
                <w:szCs w:val="24"/>
                <w:highlight w:val="none"/>
              </w:rPr>
            </w:pPr>
          </w:p>
          <w:p>
            <w:pPr>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2711" w:type="dxa"/>
            <w:vAlign w:val="center"/>
          </w:tcPr>
          <w:p>
            <w:pPr>
              <w:shd w:val="clear"/>
              <w:jc w:val="center"/>
              <w:rPr>
                <w:rFonts w:hint="eastAsia" w:ascii="仿宋" w:hAnsi="仿宋" w:eastAsia="仿宋" w:cs="仿宋"/>
                <w:color w:val="auto"/>
                <w:sz w:val="24"/>
                <w:szCs w:val="24"/>
                <w:highlight w:val="none"/>
              </w:rPr>
            </w:pPr>
          </w:p>
          <w:p>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质量标准</w:t>
            </w:r>
          </w:p>
        </w:tc>
        <w:tc>
          <w:tcPr>
            <w:tcW w:w="5114" w:type="dxa"/>
            <w:vAlign w:val="center"/>
          </w:tcPr>
          <w:p>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w:t>
            </w:r>
            <w:r>
              <w:rPr>
                <w:rFonts w:hint="eastAsia" w:ascii="仿宋" w:hAnsi="仿宋" w:eastAsia="仿宋" w:cs="仿宋"/>
                <w:color w:val="auto"/>
                <w:sz w:val="24"/>
                <w:szCs w:val="24"/>
                <w:highlight w:val="none"/>
                <w:lang w:val="en-US" w:eastAsia="zh-CN"/>
              </w:rPr>
              <w:t>合格</w:t>
            </w:r>
            <w:r>
              <w:rPr>
                <w:rFonts w:hint="eastAsia" w:ascii="仿宋" w:hAnsi="仿宋" w:eastAsia="仿宋" w:cs="仿宋"/>
                <w:color w:val="auto"/>
                <w:sz w:val="24"/>
                <w:szCs w:val="24"/>
                <w:highlight w:val="none"/>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736" w:type="dxa"/>
            <w:vAlign w:val="center"/>
          </w:tcPr>
          <w:p>
            <w:pPr>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c>
          <w:tcPr>
            <w:tcW w:w="2711" w:type="dxa"/>
            <w:vAlign w:val="center"/>
          </w:tcPr>
          <w:p>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5114" w:type="dxa"/>
            <w:vAlign w:val="center"/>
          </w:tcPr>
          <w:p>
            <w:pPr>
              <w:shd w:val="clear"/>
              <w:jc w:val="center"/>
              <w:rPr>
                <w:rFonts w:hint="eastAsia" w:ascii="仿宋" w:hAnsi="仿宋" w:eastAsia="仿宋" w:cs="仿宋"/>
                <w:color w:val="auto"/>
                <w:sz w:val="24"/>
                <w:szCs w:val="24"/>
                <w:highlight w:val="none"/>
              </w:rPr>
            </w:pPr>
          </w:p>
        </w:tc>
      </w:tr>
    </w:tbl>
    <w:p>
      <w:pPr>
        <w:shd w:val="clear"/>
        <w:jc w:val="center"/>
        <w:rPr>
          <w:rFonts w:hint="eastAsia" w:ascii="仿宋" w:hAnsi="仿宋" w:eastAsia="仿宋" w:cs="仿宋"/>
          <w:color w:val="auto"/>
          <w:sz w:val="24"/>
          <w:szCs w:val="24"/>
          <w:highlight w:val="none"/>
        </w:rPr>
      </w:pPr>
    </w:p>
    <w:p>
      <w:pPr>
        <w:shd w:val="clear"/>
        <w:jc w:val="left"/>
        <w:rPr>
          <w:rFonts w:hint="eastAsia" w:ascii="仿宋" w:hAnsi="仿宋" w:eastAsia="仿宋" w:cs="仿宋"/>
          <w:color w:val="auto"/>
          <w:kern w:val="0"/>
          <w:sz w:val="24"/>
          <w:highlight w:val="none"/>
        </w:rPr>
      </w:pPr>
      <w:r>
        <w:rPr>
          <w:rFonts w:hint="eastAsia" w:ascii="仿宋" w:hAnsi="仿宋" w:eastAsia="仿宋" w:cs="仿宋"/>
          <w:color w:val="auto"/>
          <w:sz w:val="24"/>
          <w:szCs w:val="24"/>
          <w:highlight w:val="none"/>
        </w:rPr>
        <w:t>注：表中投标报价即为</w:t>
      </w:r>
      <w:r>
        <w:rPr>
          <w:rFonts w:hint="eastAsia" w:ascii="仿宋" w:hAnsi="仿宋" w:eastAsia="仿宋" w:cs="仿宋"/>
          <w:color w:val="auto"/>
          <w:kern w:val="0"/>
          <w:sz w:val="24"/>
          <w:highlight w:val="none"/>
        </w:rPr>
        <w:t>完成本项目所需要的人工费、管理费、利润、风险费、税费、运输费、现场人员所产生的费用等预计发生或可能发生的所有完成本项目的全部费用。</w:t>
      </w:r>
    </w:p>
    <w:p>
      <w:pPr>
        <w:shd w:val="clear"/>
        <w:jc w:val="left"/>
        <w:rPr>
          <w:rFonts w:hint="eastAsia" w:ascii="仿宋" w:hAnsi="仿宋" w:eastAsia="仿宋" w:cs="仿宋"/>
          <w:color w:val="auto"/>
          <w:kern w:val="0"/>
          <w:sz w:val="24"/>
          <w:highlight w:val="none"/>
        </w:rPr>
      </w:pPr>
    </w:p>
    <w:p>
      <w:pPr>
        <w:shd w:val="clear"/>
        <w:jc w:val="left"/>
        <w:rPr>
          <w:rFonts w:hint="eastAsia" w:ascii="仿宋" w:hAnsi="仿宋" w:eastAsia="仿宋" w:cs="仿宋"/>
          <w:color w:val="auto"/>
          <w:kern w:val="0"/>
          <w:sz w:val="24"/>
          <w:highlight w:val="none"/>
        </w:rPr>
      </w:pPr>
    </w:p>
    <w:p>
      <w:pPr>
        <w:shd w:val="clear"/>
        <w:jc w:val="left"/>
        <w:rPr>
          <w:rFonts w:hint="eastAsia" w:ascii="仿宋" w:hAnsi="仿宋" w:eastAsia="仿宋" w:cs="仿宋"/>
          <w:color w:val="auto"/>
          <w:kern w:val="0"/>
          <w:sz w:val="24"/>
          <w:highlight w:val="none"/>
        </w:rPr>
      </w:pPr>
    </w:p>
    <w:p>
      <w:pPr>
        <w:shd w:val="clear"/>
        <w:jc w:val="left"/>
        <w:rPr>
          <w:rFonts w:hint="eastAsia" w:ascii="仿宋" w:hAnsi="仿宋" w:eastAsia="仿宋" w:cs="仿宋"/>
          <w:color w:val="auto"/>
          <w:kern w:val="0"/>
          <w:sz w:val="24"/>
          <w:highlight w:val="none"/>
        </w:rPr>
      </w:pPr>
    </w:p>
    <w:p>
      <w:pPr>
        <w:shd w:val="clear"/>
        <w:jc w:val="left"/>
        <w:rPr>
          <w:rFonts w:hint="eastAsia" w:ascii="仿宋" w:hAnsi="仿宋" w:eastAsia="仿宋" w:cs="仿宋"/>
          <w:color w:val="auto"/>
          <w:sz w:val="24"/>
          <w:szCs w:val="24"/>
          <w:highlight w:val="none"/>
        </w:rPr>
      </w:pPr>
    </w:p>
    <w:p>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投标人(盖公章)：</w:t>
      </w:r>
    </w:p>
    <w:p>
      <w:pPr>
        <w:shd w:val="clear"/>
        <w:jc w:val="right"/>
        <w:rPr>
          <w:rFonts w:hint="eastAsia" w:ascii="仿宋" w:hAnsi="仿宋" w:eastAsia="仿宋" w:cs="仿宋"/>
          <w:color w:val="auto"/>
          <w:sz w:val="24"/>
          <w:szCs w:val="24"/>
          <w:highlight w:val="none"/>
        </w:rPr>
      </w:pPr>
    </w:p>
    <w:p>
      <w:pPr>
        <w:shd w:val="clear"/>
        <w:jc w:val="both"/>
        <w:rPr>
          <w:rFonts w:hint="eastAsia" w:ascii="仿宋" w:hAnsi="仿宋" w:eastAsia="仿宋" w:cs="仿宋"/>
          <w:color w:val="auto"/>
          <w:sz w:val="24"/>
          <w:szCs w:val="24"/>
          <w:highlight w:val="none"/>
        </w:rPr>
      </w:pPr>
    </w:p>
    <w:p>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bookmarkStart w:id="10" w:name="_GoBack"/>
      <w:bookmarkEnd w:id="10"/>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法人代表（签字或盖章） ：                       </w:t>
      </w:r>
    </w:p>
    <w:p>
      <w:pPr>
        <w:shd w:val="clear"/>
        <w:jc w:val="right"/>
        <w:rPr>
          <w:rFonts w:hint="eastAsia" w:ascii="仿宋" w:hAnsi="仿宋" w:eastAsia="仿宋" w:cs="仿宋"/>
          <w:color w:val="auto"/>
          <w:sz w:val="24"/>
          <w:szCs w:val="24"/>
          <w:highlight w:val="none"/>
        </w:rPr>
      </w:pPr>
    </w:p>
    <w:p>
      <w:pPr>
        <w:shd w:val="clear"/>
        <w:jc w:val="right"/>
        <w:rPr>
          <w:rFonts w:hint="eastAsia" w:ascii="仿宋" w:hAnsi="仿宋" w:eastAsia="仿宋" w:cs="仿宋"/>
          <w:color w:val="auto"/>
          <w:sz w:val="24"/>
          <w:szCs w:val="24"/>
          <w:highlight w:val="none"/>
        </w:rPr>
      </w:pPr>
    </w:p>
    <w:p>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p>
    <w:p>
      <w:pPr>
        <w:shd w:val="clear"/>
        <w:jc w:val="center"/>
        <w:rPr>
          <w:rFonts w:hint="eastAsia" w:ascii="仿宋" w:hAnsi="仿宋" w:eastAsia="仿宋" w:cs="仿宋"/>
          <w:color w:val="auto"/>
          <w:sz w:val="24"/>
          <w:szCs w:val="24"/>
          <w:highlight w:val="none"/>
        </w:rPr>
      </w:pPr>
    </w:p>
    <w:p>
      <w:pPr>
        <w:shd w:val="clear"/>
        <w:rPr>
          <w:color w:val="auto"/>
          <w:highlight w:val="none"/>
        </w:rPr>
      </w:pPr>
    </w:p>
    <w:p>
      <w:pPr>
        <w:widowControl/>
        <w:numPr>
          <w:ilvl w:val="0"/>
          <w:numId w:val="0"/>
        </w:numPr>
        <w:shd w:val="clear"/>
        <w:ind w:leftChars="0"/>
        <w:jc w:val="both"/>
        <w:rPr>
          <w:rFonts w:hint="eastAsia" w:ascii="仿宋" w:hAnsi="仿宋" w:eastAsia="仿宋" w:cs="仿宋"/>
          <w:b/>
          <w:color w:val="auto"/>
          <w:kern w:val="0"/>
          <w:sz w:val="24"/>
          <w:szCs w:val="24"/>
          <w:highlight w:val="none"/>
          <w:lang w:eastAsia="zh-CN"/>
        </w:rPr>
      </w:pPr>
    </w:p>
    <w:p>
      <w:pPr>
        <w:widowControl/>
        <w:shd w:val="clear"/>
        <w:jc w:val="both"/>
        <w:rPr>
          <w:rFonts w:hint="eastAsia" w:ascii="仿宋" w:hAnsi="仿宋" w:eastAsia="仿宋" w:cs="仿宋"/>
          <w:bCs/>
          <w:color w:val="auto"/>
          <w:kern w:val="0"/>
          <w:sz w:val="24"/>
          <w:szCs w:val="24"/>
          <w:highlight w:val="none"/>
        </w:rPr>
      </w:pPr>
    </w:p>
    <w:p>
      <w:pPr>
        <w:widowControl/>
        <w:shd w:val="clear"/>
        <w:jc w:val="both"/>
        <w:rPr>
          <w:rFonts w:hint="eastAsia" w:ascii="仿宋" w:hAnsi="仿宋" w:eastAsia="仿宋" w:cs="仿宋"/>
          <w:bCs/>
          <w:color w:val="auto"/>
          <w:kern w:val="0"/>
          <w:sz w:val="24"/>
          <w:szCs w:val="24"/>
          <w:highlight w:val="none"/>
        </w:rPr>
      </w:pPr>
    </w:p>
    <w:p>
      <w:pPr>
        <w:widowControl/>
        <w:shd w:val="clear"/>
        <w:jc w:val="both"/>
        <w:rPr>
          <w:rFonts w:hint="eastAsia" w:ascii="仿宋" w:hAnsi="仿宋" w:eastAsia="仿宋" w:cs="仿宋"/>
          <w:bCs/>
          <w:color w:val="auto"/>
          <w:kern w:val="0"/>
          <w:sz w:val="24"/>
          <w:szCs w:val="24"/>
          <w:highlight w:val="none"/>
        </w:rPr>
      </w:pPr>
    </w:p>
    <w:p>
      <w:pPr>
        <w:widowControl/>
        <w:shd w:val="clear"/>
        <w:jc w:val="both"/>
        <w:rPr>
          <w:rFonts w:hint="eastAsia" w:ascii="仿宋" w:hAnsi="仿宋" w:eastAsia="仿宋" w:cs="仿宋"/>
          <w:bCs/>
          <w:color w:val="auto"/>
          <w:kern w:val="0"/>
          <w:sz w:val="24"/>
          <w:szCs w:val="24"/>
          <w:highlight w:val="none"/>
        </w:rPr>
      </w:pPr>
    </w:p>
    <w:p>
      <w:pPr>
        <w:widowControl/>
        <w:shd w:val="clear"/>
        <w:jc w:val="both"/>
        <w:rPr>
          <w:rFonts w:hint="eastAsia" w:ascii="仿宋" w:hAnsi="仿宋" w:eastAsia="仿宋" w:cs="仿宋"/>
          <w:bCs/>
          <w:color w:val="auto"/>
          <w:kern w:val="0"/>
          <w:sz w:val="24"/>
          <w:szCs w:val="24"/>
          <w:highlight w:val="none"/>
        </w:rPr>
      </w:pPr>
    </w:p>
    <w:p>
      <w:pPr>
        <w:widowControl/>
        <w:shd w:val="clear"/>
        <w:jc w:val="both"/>
        <w:rPr>
          <w:rFonts w:hint="eastAsia" w:ascii="仿宋" w:hAnsi="仿宋" w:eastAsia="仿宋" w:cs="仿宋"/>
          <w:bCs/>
          <w:color w:val="auto"/>
          <w:kern w:val="0"/>
          <w:sz w:val="24"/>
          <w:szCs w:val="24"/>
          <w:highlight w:val="none"/>
        </w:rPr>
      </w:pPr>
    </w:p>
    <w:p>
      <w:pPr>
        <w:widowControl/>
        <w:shd w:val="clear"/>
        <w:jc w:val="both"/>
        <w:rPr>
          <w:rFonts w:hint="eastAsia" w:ascii="仿宋" w:hAnsi="仿宋" w:eastAsia="仿宋" w:cs="仿宋"/>
          <w:bCs/>
          <w:color w:val="auto"/>
          <w:kern w:val="0"/>
          <w:sz w:val="24"/>
          <w:szCs w:val="24"/>
          <w:highlight w:val="none"/>
        </w:rPr>
      </w:pPr>
    </w:p>
    <w:p>
      <w:pPr>
        <w:widowControl/>
        <w:shd w:val="clear"/>
        <w:jc w:val="both"/>
        <w:rPr>
          <w:rFonts w:hint="eastAsia" w:ascii="仿宋" w:hAnsi="仿宋" w:eastAsia="仿宋" w:cs="仿宋"/>
          <w:bCs/>
          <w:color w:val="auto"/>
          <w:kern w:val="0"/>
          <w:sz w:val="24"/>
          <w:szCs w:val="24"/>
          <w:highlight w:val="none"/>
        </w:rPr>
      </w:pPr>
    </w:p>
    <w:p>
      <w:pPr>
        <w:widowControl/>
        <w:shd w:val="clear"/>
        <w:jc w:val="both"/>
        <w:rPr>
          <w:rFonts w:hint="eastAsia" w:ascii="仿宋" w:hAnsi="仿宋" w:eastAsia="仿宋" w:cs="仿宋"/>
          <w:bCs/>
          <w:color w:val="auto"/>
          <w:kern w:val="0"/>
          <w:sz w:val="24"/>
          <w:szCs w:val="24"/>
          <w:highlight w:val="none"/>
        </w:rPr>
      </w:pPr>
    </w:p>
    <w:p>
      <w:pPr>
        <w:widowControl/>
        <w:shd w:val="clear"/>
        <w:jc w:val="both"/>
        <w:rPr>
          <w:rFonts w:hint="eastAsia" w:ascii="仿宋" w:hAnsi="仿宋" w:eastAsia="仿宋" w:cs="仿宋"/>
          <w:b/>
          <w:color w:val="auto"/>
          <w:sz w:val="24"/>
          <w:szCs w:val="24"/>
          <w:highlight w:val="none"/>
        </w:rPr>
      </w:pPr>
    </w:p>
    <w:p>
      <w:pPr>
        <w:widowControl/>
        <w:shd w:val="clear"/>
        <w:jc w:val="center"/>
        <w:rPr>
          <w:rFonts w:hint="eastAsia" w:ascii="仿宋" w:hAnsi="仿宋" w:eastAsia="仿宋" w:cs="仿宋"/>
          <w:b/>
          <w:color w:val="auto"/>
          <w:sz w:val="24"/>
          <w:szCs w:val="24"/>
          <w:highlight w:val="none"/>
        </w:rPr>
      </w:pPr>
    </w:p>
    <w:p>
      <w:pPr>
        <w:widowControl/>
        <w:shd w:val="clear"/>
        <w:spacing w:line="360" w:lineRule="auto"/>
        <w:jc w:val="center"/>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val="en-US" w:eastAsia="zh-CN"/>
        </w:rPr>
        <w:t>格式四</w:t>
      </w:r>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eastAsia="zh-CN"/>
        </w:rPr>
        <w:t>资格审查资料</w:t>
      </w:r>
    </w:p>
    <w:p>
      <w:pPr>
        <w:widowControl/>
        <w:shd w:val="clear"/>
        <w:spacing w:line="360" w:lineRule="auto"/>
        <w:jc w:val="left"/>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eastAsia="zh-CN"/>
        </w:rPr>
        <w:t>供应商应仔细查看竞争性谈判公告、评审办法及竞争性谈判中需提供的资料，确保提供齐全。</w:t>
      </w:r>
    </w:p>
    <w:p>
      <w:pPr>
        <w:widowControl/>
        <w:shd w:val="clear"/>
        <w:spacing w:line="360" w:lineRule="auto"/>
        <w:jc w:val="left"/>
        <w:rPr>
          <w:rFonts w:hint="eastAsia" w:ascii="仿宋" w:hAnsi="仿宋" w:eastAsia="仿宋" w:cs="仿宋"/>
          <w:b/>
          <w:color w:val="auto"/>
          <w:sz w:val="32"/>
          <w:szCs w:val="32"/>
          <w:highlight w:val="none"/>
          <w:lang w:eastAsia="zh-CN"/>
        </w:rPr>
      </w:pPr>
    </w:p>
    <w:p>
      <w:pPr>
        <w:widowControl/>
        <w:shd w:val="clear"/>
        <w:spacing w:line="360" w:lineRule="auto"/>
        <w:jc w:val="center"/>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eastAsia="zh-CN"/>
        </w:rPr>
        <w:t>（加盖公章）</w:t>
      </w:r>
    </w:p>
    <w:p>
      <w:pPr>
        <w:widowControl/>
        <w:shd w:val="clear"/>
        <w:spacing w:line="360" w:lineRule="auto"/>
        <w:jc w:val="center"/>
        <w:rPr>
          <w:rFonts w:hint="eastAsia" w:ascii="仿宋" w:hAnsi="仿宋" w:eastAsia="仿宋" w:cs="仿宋"/>
          <w:b/>
          <w:color w:val="auto"/>
          <w:sz w:val="32"/>
          <w:szCs w:val="32"/>
          <w:highlight w:val="none"/>
          <w:lang w:eastAsia="zh-CN"/>
        </w:rPr>
      </w:pPr>
    </w:p>
    <w:p>
      <w:pPr>
        <w:widowControl/>
        <w:shd w:val="clear"/>
        <w:spacing w:line="360" w:lineRule="auto"/>
        <w:jc w:val="center"/>
        <w:rPr>
          <w:rFonts w:hint="eastAsia" w:ascii="仿宋" w:hAnsi="仿宋" w:eastAsia="仿宋" w:cs="仿宋"/>
          <w:b/>
          <w:color w:val="auto"/>
          <w:sz w:val="32"/>
          <w:szCs w:val="32"/>
          <w:highlight w:val="none"/>
          <w:lang w:val="en-US" w:eastAsia="zh-CN"/>
        </w:rPr>
      </w:pPr>
    </w:p>
    <w:p>
      <w:pPr>
        <w:shd w:val="clear"/>
        <w:kinsoku w:val="0"/>
        <w:overflowPunct w:val="0"/>
        <w:autoSpaceDE w:val="0"/>
        <w:autoSpaceDN w:val="0"/>
        <w:adjustRightInd w:val="0"/>
        <w:snapToGrid w:val="0"/>
        <w:spacing w:line="360" w:lineRule="auto"/>
        <w:ind w:firstLine="1927" w:firstLineChars="600"/>
        <w:rPr>
          <w:rFonts w:hint="default" w:ascii="仿宋" w:hAnsi="仿宋" w:eastAsia="仿宋" w:cs="仿宋"/>
          <w:b/>
          <w:bCs/>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格式</w:t>
      </w:r>
      <w:r>
        <w:rPr>
          <w:rFonts w:hint="eastAsia" w:ascii="仿宋" w:hAnsi="仿宋" w:eastAsia="仿宋" w:cs="仿宋"/>
          <w:b/>
          <w:bCs/>
          <w:color w:val="auto"/>
          <w:sz w:val="32"/>
          <w:szCs w:val="32"/>
          <w:highlight w:val="none"/>
          <w:lang w:val="en-US" w:eastAsia="zh-CN"/>
        </w:rPr>
        <w:t>五、服务方案（格式自拟、加盖公章）</w:t>
      </w:r>
    </w:p>
    <w:p>
      <w:pPr>
        <w:shd w:val="clea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br w:type="page"/>
      </w:r>
    </w:p>
    <w:p>
      <w:pPr>
        <w:pStyle w:val="7"/>
        <w:shd w:val="clear"/>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eastAsia="zh-CN"/>
        </w:rPr>
        <w:t>附件</w:t>
      </w:r>
      <w:r>
        <w:rPr>
          <w:rFonts w:hint="eastAsia" w:ascii="仿宋_GB2312" w:hAnsi="仿宋_GB2312" w:eastAsia="仿宋_GB2312" w:cs="仿宋_GB2312"/>
          <w:b w:val="0"/>
          <w:bCs w:val="0"/>
          <w:color w:val="auto"/>
          <w:sz w:val="32"/>
          <w:szCs w:val="32"/>
          <w:highlight w:val="none"/>
          <w:lang w:val="en-US" w:eastAsia="zh-CN"/>
        </w:rPr>
        <w:t>8：</w:t>
      </w:r>
    </w:p>
    <w:p>
      <w:pPr>
        <w:shd w:val="clear"/>
        <w:rPr>
          <w:rFonts w:hint="eastAsia" w:ascii="仿宋" w:hAnsi="仿宋" w:eastAsia="仿宋" w:cs="仿宋"/>
          <w:b w:val="0"/>
          <w:bCs w:val="0"/>
          <w:color w:val="auto"/>
          <w:sz w:val="24"/>
          <w:szCs w:val="24"/>
          <w:highlight w:val="none"/>
          <w:lang w:val="en-US" w:eastAsia="zh-CN"/>
        </w:rPr>
      </w:pPr>
    </w:p>
    <w:p>
      <w:pPr>
        <w:shd w:val="clear"/>
        <w:kinsoku w:val="0"/>
        <w:overflowPunct w:val="0"/>
        <w:autoSpaceDE w:val="0"/>
        <w:autoSpaceDN w:val="0"/>
        <w:adjustRightInd w:val="0"/>
        <w:snapToGrid w:val="0"/>
        <w:spacing w:line="360" w:lineRule="auto"/>
        <w:jc w:val="center"/>
        <w:rPr>
          <w:rFonts w:hint="eastAsia" w:ascii="仿宋" w:hAnsi="仿宋" w:eastAsia="仿宋" w:cs="仿宋"/>
          <w:b/>
          <w:bCs/>
          <w:color w:val="auto"/>
          <w:sz w:val="32"/>
          <w:szCs w:val="32"/>
          <w:highlight w:val="none"/>
          <w:lang w:val="en-US" w:eastAsia="zh-CN"/>
        </w:rPr>
      </w:pPr>
      <w:r>
        <w:rPr>
          <w:rFonts w:hint="eastAsia" w:ascii="方正小标宋简体" w:hAnsi="方正小标宋简体" w:eastAsia="方正小标宋简体" w:cs="方正小标宋简体"/>
          <w:b w:val="0"/>
          <w:bCs w:val="0"/>
          <w:color w:val="auto"/>
          <w:kern w:val="44"/>
          <w:sz w:val="44"/>
          <w:szCs w:val="44"/>
          <w:highlight w:val="none"/>
          <w:lang w:val="en-US" w:eastAsia="zh-CN" w:bidi="ar-SA"/>
        </w:rPr>
        <w:t>谈判人提供以下承诺</w:t>
      </w:r>
    </w:p>
    <w:p>
      <w:pPr>
        <w:shd w:val="clea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无不良信用记录声明函</w:t>
      </w:r>
    </w:p>
    <w:p>
      <w:pPr>
        <w:shd w:val="clea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本公司郑重声明，我公司无以下不良信用记录情形：</w:t>
      </w:r>
    </w:p>
    <w:p>
      <w:pPr>
        <w:shd w:val="clea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1、公司被人民法院列入失信被执行人；</w:t>
      </w:r>
    </w:p>
    <w:p>
      <w:pPr>
        <w:shd w:val="clea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2、公司、法定代表人或拟派项目经理（项目负责人）被人民检察院列入行贿犯罪档案；</w:t>
      </w:r>
    </w:p>
    <w:p>
      <w:pPr>
        <w:shd w:val="clea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3、公司被工商行政管理部门列入企业经营异常名录；</w:t>
      </w:r>
    </w:p>
    <w:p>
      <w:pPr>
        <w:shd w:val="clea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4、公司被税务部门列入重大税收违法案件当事人名单；</w:t>
      </w:r>
    </w:p>
    <w:p>
      <w:pPr>
        <w:shd w:val="clea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5、公司被政府采购监管部门列入政府采购严重违法失信行为记录名单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 xml:space="preserve">             </w:t>
      </w:r>
    </w:p>
    <w:p>
      <w:pPr>
        <w:shd w:val="clear"/>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lang w:val="en-US" w:eastAsia="zh-CN"/>
        </w:rPr>
        <w:t>6、我单位承诺符合《中华人民共和国政府采购法》第二十二条规定的条件。</w:t>
      </w:r>
    </w:p>
    <w:p>
      <w:pPr>
        <w:shd w:val="clea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我公司已就上述不良信用行为按照</w:t>
      </w:r>
      <w:r>
        <w:rPr>
          <w:rFonts w:hint="eastAsia" w:ascii="仿宋" w:hAnsi="仿宋" w:eastAsia="仿宋" w:cs="仿宋"/>
          <w:color w:val="auto"/>
          <w:sz w:val="24"/>
          <w:szCs w:val="24"/>
          <w:highlight w:val="none"/>
          <w:lang w:eastAsia="zh-CN"/>
        </w:rPr>
        <w:t>竞争性谈判文件</w:t>
      </w:r>
      <w:r>
        <w:rPr>
          <w:rFonts w:hint="eastAsia" w:ascii="仿宋" w:hAnsi="仿宋" w:eastAsia="仿宋" w:cs="仿宋"/>
          <w:color w:val="auto"/>
          <w:sz w:val="24"/>
          <w:szCs w:val="24"/>
          <w:highlight w:val="none"/>
        </w:rPr>
        <w:t>中</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 xml:space="preserve">供应商须知前附表规定进行了查询。我公司承诺：合同签订前，若我公司具有不良信用记录情形，贵方可取消我公司中标资格或者不授予合同，所有责任由我公司自行承担。同时，我公司愿意无条件接受监管部门的调查处理。 </w:t>
      </w:r>
    </w:p>
    <w:p>
      <w:pPr>
        <w:pStyle w:val="6"/>
        <w:shd w:val="clear"/>
        <w:tabs>
          <w:tab w:val="left" w:pos="574"/>
        </w:tabs>
        <w:ind w:firstLine="480" w:firstLineChars="200"/>
        <w:rPr>
          <w:rFonts w:hint="eastAsia" w:ascii="仿宋" w:hAnsi="仿宋" w:eastAsia="仿宋" w:cs="仿宋"/>
          <w:bCs/>
          <w:color w:val="auto"/>
          <w:sz w:val="24"/>
          <w:szCs w:val="24"/>
          <w:highlight w:val="none"/>
        </w:rPr>
      </w:pPr>
    </w:p>
    <w:p>
      <w:pPr>
        <w:pStyle w:val="6"/>
        <w:shd w:val="clear"/>
        <w:tabs>
          <w:tab w:val="left" w:pos="574"/>
        </w:tabs>
        <w:ind w:firstLine="480" w:firstLineChars="200"/>
        <w:rPr>
          <w:rFonts w:hint="eastAsia" w:ascii="仿宋" w:hAnsi="仿宋" w:eastAsia="仿宋" w:cs="仿宋"/>
          <w:bCs/>
          <w:color w:val="auto"/>
          <w:sz w:val="24"/>
          <w:szCs w:val="24"/>
          <w:highlight w:val="none"/>
        </w:rPr>
      </w:pPr>
    </w:p>
    <w:p>
      <w:pPr>
        <w:shd w:val="clear"/>
        <w:autoSpaceDE w:val="0"/>
        <w:autoSpaceDN w:val="0"/>
        <w:adjustRightInd w:val="0"/>
        <w:spacing w:line="380" w:lineRule="exact"/>
        <w:jc w:val="righ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zh-CN"/>
        </w:rPr>
        <w:t>谈判人：（全称并加盖公章）：</w:t>
      </w:r>
    </w:p>
    <w:p>
      <w:pPr>
        <w:shd w:val="clear"/>
        <w:spacing w:line="460" w:lineRule="exact"/>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zh-CN"/>
        </w:rPr>
        <w:t>日期：</w:t>
      </w:r>
    </w:p>
    <w:p>
      <w:pPr>
        <w:shd w:val="clear"/>
        <w:spacing w:line="360" w:lineRule="auto"/>
        <w:jc w:val="center"/>
        <w:rPr>
          <w:rFonts w:hint="eastAsia" w:ascii="仿宋" w:hAnsi="仿宋" w:eastAsia="仿宋" w:cs="仿宋"/>
          <w:b/>
          <w:bCs/>
          <w:color w:val="auto"/>
          <w:sz w:val="24"/>
          <w:szCs w:val="24"/>
          <w:highlight w:val="none"/>
        </w:rPr>
      </w:pPr>
    </w:p>
    <w:p>
      <w:pPr>
        <w:shd w:val="clear"/>
        <w:spacing w:line="360" w:lineRule="auto"/>
        <w:jc w:val="center"/>
        <w:rPr>
          <w:rFonts w:hint="eastAsia" w:ascii="仿宋" w:hAnsi="仿宋" w:eastAsia="仿宋" w:cs="仿宋"/>
          <w:b/>
          <w:bCs/>
          <w:color w:val="auto"/>
          <w:sz w:val="24"/>
          <w:szCs w:val="24"/>
          <w:highlight w:val="none"/>
        </w:rPr>
      </w:pPr>
    </w:p>
    <w:p>
      <w:pPr>
        <w:shd w:val="clear"/>
        <w:spacing w:line="360" w:lineRule="auto"/>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pPr>
        <w:shd w:val="clea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无行贿犯罪记录承诺书</w:t>
      </w:r>
    </w:p>
    <w:p>
      <w:pPr>
        <w:shd w:val="clear"/>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供应商自</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人近三年（自招标公告发布之日起向前追溯三年)至今参加政府采购在经营活动中没有重大违法记录，</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人</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时需提供无行贿犯罪记录承诺，中标后签订合同前提供无行贿犯罪记录证明。（格式自拟）</w:t>
      </w:r>
    </w:p>
    <w:p>
      <w:pPr>
        <w:shd w:val="clear"/>
        <w:spacing w:line="360" w:lineRule="auto"/>
        <w:ind w:left="4200" w:leftChars="20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供应商公章：</w:t>
      </w:r>
    </w:p>
    <w:p>
      <w:pPr>
        <w:shd w:val="clear"/>
        <w:spacing w:line="360" w:lineRule="auto"/>
        <w:ind w:left="4200" w:leftChars="20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日期：</w:t>
      </w:r>
    </w:p>
    <w:p>
      <w:pPr>
        <w:pStyle w:val="6"/>
        <w:shd w:val="clear"/>
        <w:tabs>
          <w:tab w:val="left" w:pos="574"/>
        </w:tabs>
        <w:ind w:firstLine="480" w:firstLineChars="200"/>
        <w:rPr>
          <w:rFonts w:hint="eastAsia" w:ascii="仿宋" w:hAnsi="仿宋" w:eastAsia="仿宋" w:cs="仿宋"/>
          <w:bCs/>
          <w:color w:val="auto"/>
          <w:sz w:val="24"/>
          <w:szCs w:val="24"/>
          <w:highlight w:val="none"/>
        </w:rPr>
      </w:pPr>
    </w:p>
    <w:p>
      <w:pPr>
        <w:pStyle w:val="6"/>
        <w:shd w:val="clear"/>
        <w:tabs>
          <w:tab w:val="left" w:pos="574"/>
        </w:tabs>
        <w:ind w:firstLine="480" w:firstLineChars="200"/>
        <w:rPr>
          <w:rFonts w:hint="eastAsia" w:ascii="仿宋" w:hAnsi="仿宋" w:eastAsia="仿宋" w:cs="仿宋"/>
          <w:b/>
          <w:bCs/>
          <w:color w:val="auto"/>
          <w:kern w:val="44"/>
          <w:sz w:val="32"/>
          <w:szCs w:val="32"/>
          <w:highlight w:val="none"/>
          <w:lang w:val="en-US" w:eastAsia="zh-CN" w:bidi="ar-SA"/>
        </w:rPr>
      </w:pPr>
      <w:r>
        <w:rPr>
          <w:rFonts w:hint="eastAsia" w:ascii="仿宋" w:hAnsi="仿宋" w:eastAsia="仿宋" w:cs="仿宋"/>
          <w:bCs/>
          <w:color w:val="auto"/>
          <w:sz w:val="24"/>
          <w:szCs w:val="24"/>
          <w:highlight w:val="none"/>
        </w:rPr>
        <w:t xml:space="preserve">                    </w:t>
      </w:r>
      <w:r>
        <w:rPr>
          <w:rFonts w:hint="eastAsia" w:ascii="仿宋" w:hAnsi="仿宋" w:eastAsia="仿宋" w:cs="仿宋"/>
          <w:b/>
          <w:bCs/>
          <w:color w:val="auto"/>
          <w:kern w:val="44"/>
          <w:sz w:val="32"/>
          <w:szCs w:val="32"/>
          <w:highlight w:val="none"/>
          <w:lang w:val="en-US" w:eastAsia="zh-CN" w:bidi="ar-SA"/>
        </w:rPr>
        <w:t xml:space="preserve">  </w:t>
      </w:r>
    </w:p>
    <w:p>
      <w:pPr>
        <w:shd w:val="clear"/>
        <w:rPr>
          <w:rFonts w:hint="eastAsia"/>
          <w:color w:val="auto"/>
          <w:highlight w:val="none"/>
          <w:lang w:val="en-US" w:eastAsia="zh-CN"/>
        </w:rPr>
      </w:pPr>
      <w:r>
        <w:rPr>
          <w:rFonts w:hint="eastAsia"/>
          <w:color w:val="auto"/>
          <w:highlight w:val="none"/>
          <w:lang w:val="en-US" w:eastAsia="zh-CN"/>
        </w:rPr>
        <w:br w:type="page"/>
      </w:r>
    </w:p>
    <w:p>
      <w:pPr>
        <w:shd w:val="clear"/>
        <w:rPr>
          <w:rFonts w:hint="eastAsia"/>
          <w:color w:val="auto"/>
          <w:highlight w:val="none"/>
          <w:lang w:val="en-US" w:eastAsia="zh-CN"/>
        </w:rPr>
      </w:pPr>
    </w:p>
    <w:p>
      <w:pPr>
        <w:pStyle w:val="7"/>
        <w:shd w:val="clear"/>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eastAsia="zh-CN"/>
        </w:rPr>
        <w:t>附件</w:t>
      </w:r>
      <w:r>
        <w:rPr>
          <w:rFonts w:hint="eastAsia" w:ascii="仿宋_GB2312" w:hAnsi="仿宋_GB2312" w:eastAsia="仿宋_GB2312" w:cs="仿宋_GB2312"/>
          <w:b w:val="0"/>
          <w:bCs w:val="0"/>
          <w:color w:val="auto"/>
          <w:sz w:val="32"/>
          <w:szCs w:val="32"/>
          <w:highlight w:val="none"/>
          <w:lang w:val="en-US" w:eastAsia="zh-CN"/>
        </w:rPr>
        <w:t>9：</w:t>
      </w:r>
    </w:p>
    <w:p>
      <w:pPr>
        <w:pStyle w:val="7"/>
        <w:shd w:val="clear"/>
        <w:jc w:val="center"/>
        <w:rPr>
          <w:rFonts w:hint="eastAsia" w:ascii="方正小标宋简体" w:hAnsi="方正小标宋简体" w:eastAsia="方正小标宋简体" w:cs="方正小标宋简体"/>
          <w:b w:val="0"/>
          <w:bCs w:val="0"/>
          <w:color w:val="auto"/>
          <w:kern w:val="44"/>
          <w:sz w:val="44"/>
          <w:szCs w:val="44"/>
          <w:highlight w:val="none"/>
          <w:lang w:val="zh-CN" w:eastAsia="zh-CN" w:bidi="ar-SA"/>
        </w:rPr>
      </w:pPr>
      <w:r>
        <w:rPr>
          <w:rFonts w:hint="eastAsia" w:ascii="方正小标宋简体" w:hAnsi="方正小标宋简体" w:eastAsia="方正小标宋简体" w:cs="方正小标宋简体"/>
          <w:b w:val="0"/>
          <w:bCs w:val="0"/>
          <w:color w:val="auto"/>
          <w:kern w:val="44"/>
          <w:sz w:val="44"/>
          <w:szCs w:val="44"/>
          <w:highlight w:val="none"/>
          <w:lang w:val="zh-CN" w:eastAsia="zh-CN" w:bidi="ar-SA"/>
        </w:rPr>
        <w:t>谈判申请人认为需要提供的其他资料</w:t>
      </w:r>
    </w:p>
    <w:p>
      <w:pPr>
        <w:pStyle w:val="7"/>
        <w:shd w:val="clear"/>
        <w:ind w:firstLine="642" w:firstLineChars="200"/>
        <w:jc w:val="both"/>
        <w:rPr>
          <w:rFonts w:hint="eastAsia" w:ascii="仿宋" w:hAnsi="仿宋" w:eastAsia="仿宋" w:cs="仿宋"/>
          <w:b/>
          <w:bCs/>
          <w:color w:val="auto"/>
          <w:kern w:val="44"/>
          <w:sz w:val="32"/>
          <w:szCs w:val="32"/>
          <w:highlight w:val="none"/>
          <w:lang w:val="en-US" w:eastAsia="zh-CN" w:bidi="ar-SA"/>
        </w:rPr>
      </w:pPr>
      <w:r>
        <w:rPr>
          <w:rFonts w:hint="eastAsia" w:ascii="仿宋" w:hAnsi="仿宋" w:eastAsia="仿宋" w:cs="仿宋"/>
          <w:b/>
          <w:bCs/>
          <w:color w:val="auto"/>
          <w:kern w:val="44"/>
          <w:sz w:val="32"/>
          <w:szCs w:val="32"/>
          <w:highlight w:val="none"/>
          <w:lang w:val="en-US" w:eastAsia="zh-CN" w:bidi="ar-SA"/>
        </w:rPr>
        <w:t>（谈判人可根据评标办法中所要求提供的材料进行补充）</w:t>
      </w:r>
    </w:p>
    <w:p>
      <w:pPr>
        <w:pStyle w:val="7"/>
        <w:shd w:val="clear"/>
        <w:outlineLvl w:val="9"/>
        <w:rPr>
          <w:rFonts w:hint="eastAsia" w:ascii="仿宋" w:hAnsi="仿宋" w:eastAsia="仿宋" w:cs="仿宋"/>
          <w:color w:val="auto"/>
          <w:sz w:val="24"/>
          <w:szCs w:val="24"/>
          <w:highlight w:val="none"/>
        </w:rPr>
      </w:pPr>
    </w:p>
    <w:p>
      <w:pPr>
        <w:pStyle w:val="7"/>
        <w:shd w:val="clear"/>
        <w:outlineLvl w:val="9"/>
        <w:rPr>
          <w:rFonts w:hint="eastAsia" w:ascii="仿宋" w:hAnsi="仿宋" w:eastAsia="仿宋" w:cs="仿宋"/>
          <w:color w:val="auto"/>
          <w:highlight w:val="none"/>
        </w:rPr>
      </w:pPr>
    </w:p>
    <w:p>
      <w:pPr>
        <w:shd w:val="clear"/>
        <w:rPr>
          <w:rFonts w:hint="eastAsia" w:ascii="宋体" w:hAnsi="宋体" w:eastAsia="宋体" w:cs="宋体"/>
          <w:color w:val="auto"/>
          <w:sz w:val="28"/>
          <w:szCs w:val="22"/>
          <w:highlight w:val="none"/>
          <w:lang w:val="en-US" w:eastAsia="zh-CN"/>
        </w:rPr>
      </w:pPr>
      <w:r>
        <w:rPr>
          <w:rFonts w:hint="eastAsia" w:ascii="宋体" w:hAnsi="宋体" w:eastAsia="宋体" w:cs="宋体"/>
          <w:color w:val="auto"/>
          <w:sz w:val="28"/>
          <w:szCs w:val="22"/>
          <w:highlight w:val="none"/>
          <w:lang w:val="en-US" w:eastAsia="zh-CN"/>
        </w:rPr>
        <w:br w:type="page"/>
      </w:r>
    </w:p>
    <w:p>
      <w:pPr>
        <w:pStyle w:val="7"/>
        <w:shd w:val="clear"/>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eastAsia="zh-CN"/>
        </w:rPr>
        <w:t>附件</w:t>
      </w:r>
      <w:r>
        <w:rPr>
          <w:rFonts w:hint="eastAsia" w:ascii="仿宋_GB2312" w:hAnsi="仿宋_GB2312" w:eastAsia="仿宋_GB2312" w:cs="仿宋_GB2312"/>
          <w:b w:val="0"/>
          <w:bCs w:val="0"/>
          <w:color w:val="auto"/>
          <w:sz w:val="32"/>
          <w:szCs w:val="32"/>
          <w:highlight w:val="none"/>
          <w:lang w:val="en-US" w:eastAsia="zh-CN"/>
        </w:rPr>
        <w:t>10：</w:t>
      </w:r>
    </w:p>
    <w:p>
      <w:pPr>
        <w:pStyle w:val="7"/>
        <w:shd w:val="clear"/>
        <w:jc w:val="center"/>
        <w:rPr>
          <w:rFonts w:hint="eastAsia" w:ascii="方正小标宋简体" w:hAnsi="方正小标宋简体" w:eastAsia="方正小标宋简体" w:cs="方正小标宋简体"/>
          <w:b w:val="0"/>
          <w:bCs w:val="0"/>
          <w:color w:val="auto"/>
          <w:kern w:val="44"/>
          <w:sz w:val="44"/>
          <w:szCs w:val="44"/>
          <w:highlight w:val="none"/>
          <w:lang w:val="zh-CN" w:eastAsia="zh-CN" w:bidi="ar-SA"/>
        </w:rPr>
      </w:pPr>
      <w:r>
        <w:rPr>
          <w:rFonts w:hint="eastAsia" w:ascii="方正小标宋简体" w:hAnsi="方正小标宋简体" w:eastAsia="方正小标宋简体" w:cs="方正小标宋简体"/>
          <w:b w:val="0"/>
          <w:bCs w:val="0"/>
          <w:color w:val="auto"/>
          <w:kern w:val="44"/>
          <w:sz w:val="44"/>
          <w:szCs w:val="44"/>
          <w:highlight w:val="none"/>
          <w:lang w:val="en-US" w:eastAsia="zh-CN" w:bidi="ar-SA"/>
        </w:rPr>
        <w:t>最终报价即第二次报价表</w:t>
      </w:r>
    </w:p>
    <w:p>
      <w:pPr>
        <w:shd w:val="clear"/>
        <w:spacing w:line="360" w:lineRule="auto"/>
        <w:ind w:firstLine="735" w:firstLineChars="350"/>
        <w:rPr>
          <w:rFonts w:hint="eastAsia" w:ascii="仿宋" w:hAnsi="仿宋" w:eastAsia="仿宋" w:cs="仿宋"/>
          <w:bCs/>
          <w:color w:val="auto"/>
          <w:szCs w:val="21"/>
          <w:highlight w:val="none"/>
        </w:rPr>
      </w:pPr>
      <w:r>
        <w:rPr>
          <w:rFonts w:hint="eastAsia" w:ascii="仿宋" w:hAnsi="仿宋" w:eastAsia="仿宋" w:cs="仿宋"/>
          <w:color w:val="auto"/>
          <w:szCs w:val="21"/>
          <w:highlight w:val="none"/>
        </w:rPr>
        <w:t>项目名称：</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122" w:type="dxa"/>
            <w:noWrap w:val="0"/>
            <w:vAlign w:val="center"/>
          </w:tcPr>
          <w:p>
            <w:pPr>
              <w:shd w:val="clear"/>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eastAsia="zh-CN"/>
              </w:rPr>
              <w:t>谈判</w:t>
            </w:r>
            <w:r>
              <w:rPr>
                <w:rFonts w:hint="eastAsia" w:ascii="仿宋" w:hAnsi="仿宋" w:eastAsia="仿宋" w:cs="仿宋"/>
                <w:b/>
                <w:color w:val="auto"/>
                <w:szCs w:val="21"/>
                <w:highlight w:val="none"/>
              </w:rPr>
              <w:t>供应商名称</w:t>
            </w:r>
          </w:p>
        </w:tc>
        <w:tc>
          <w:tcPr>
            <w:tcW w:w="5953" w:type="dxa"/>
            <w:noWrap w:val="0"/>
            <w:vAlign w:val="top"/>
          </w:tcPr>
          <w:p>
            <w:pPr>
              <w:shd w:val="clear"/>
              <w:spacing w:line="360" w:lineRule="auto"/>
              <w:rPr>
                <w:rFonts w:hint="eastAsia" w:ascii="仿宋" w:hAnsi="仿宋" w:eastAsia="仿宋" w:cs="仿宋"/>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2122" w:type="dxa"/>
            <w:noWrap w:val="0"/>
            <w:vAlign w:val="center"/>
          </w:tcPr>
          <w:p>
            <w:pPr>
              <w:shd w:val="clear"/>
              <w:spacing w:line="360" w:lineRule="auto"/>
              <w:jc w:val="center"/>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rPr>
              <w:t>最终</w:t>
            </w:r>
            <w:r>
              <w:rPr>
                <w:rFonts w:hint="eastAsia" w:ascii="仿宋" w:hAnsi="仿宋" w:eastAsia="仿宋" w:cs="仿宋"/>
                <w:b/>
                <w:color w:val="auto"/>
                <w:szCs w:val="21"/>
                <w:highlight w:val="none"/>
                <w:lang w:eastAsia="zh-CN"/>
              </w:rPr>
              <w:t>谈判报价</w:t>
            </w:r>
          </w:p>
          <w:p>
            <w:pPr>
              <w:shd w:val="clear"/>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（详见备注说明）</w:t>
            </w:r>
          </w:p>
        </w:tc>
        <w:tc>
          <w:tcPr>
            <w:tcW w:w="5953" w:type="dxa"/>
            <w:noWrap w:val="0"/>
            <w:vAlign w:val="center"/>
          </w:tcPr>
          <w:p>
            <w:pPr>
              <w:shd w:val="clear"/>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人民币小写（元）：</w:t>
            </w:r>
          </w:p>
          <w:p>
            <w:pPr>
              <w:shd w:val="clear"/>
              <w:spacing w:line="360" w:lineRule="auto"/>
              <w:rPr>
                <w:rFonts w:hint="eastAsia" w:ascii="仿宋" w:hAnsi="仿宋" w:eastAsia="仿宋" w:cs="仿宋"/>
                <w:b/>
                <w:color w:val="auto"/>
                <w:szCs w:val="21"/>
                <w:highlight w:val="none"/>
                <w:u w:val="single"/>
                <w:lang w:val="en-US" w:eastAsia="zh-CN"/>
              </w:rPr>
            </w:pPr>
            <w:r>
              <w:rPr>
                <w:rFonts w:hint="eastAsia" w:ascii="仿宋" w:hAnsi="仿宋" w:eastAsia="仿宋" w:cs="仿宋"/>
                <w:b/>
                <w:bCs/>
                <w:color w:val="auto"/>
                <w:sz w:val="21"/>
                <w:szCs w:val="21"/>
                <w:highlight w:val="none"/>
              </w:rPr>
              <w:t>人民币大写（元）：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122" w:type="dxa"/>
            <w:noWrap w:val="0"/>
            <w:vAlign w:val="center"/>
          </w:tcPr>
          <w:p>
            <w:pPr>
              <w:shd w:val="clear"/>
              <w:spacing w:line="360"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是否响应</w:t>
            </w:r>
          </w:p>
          <w:p>
            <w:pPr>
              <w:shd w:val="clear"/>
              <w:spacing w:line="360"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付款方式</w:t>
            </w:r>
          </w:p>
        </w:tc>
        <w:tc>
          <w:tcPr>
            <w:tcW w:w="5953" w:type="dxa"/>
            <w:noWrap w:val="0"/>
            <w:vAlign w:val="center"/>
          </w:tcPr>
          <w:p>
            <w:pPr>
              <w:shd w:val="clear"/>
              <w:spacing w:line="360" w:lineRule="auto"/>
              <w:rPr>
                <w:rFonts w:hint="eastAsia" w:ascii="仿宋" w:hAnsi="仿宋" w:eastAsia="仿宋" w:cs="仿宋"/>
                <w:bCs/>
                <w:color w:val="auto"/>
                <w:szCs w:val="21"/>
                <w:highlight w:val="none"/>
              </w:rPr>
            </w:pPr>
            <w:r>
              <w:rPr>
                <w:rFonts w:hint="eastAsia" w:ascii="仿宋" w:hAnsi="仿宋" w:eastAsia="仿宋" w:cs="仿宋"/>
                <w:color w:val="auto"/>
                <w:szCs w:val="21"/>
                <w:highlight w:val="none"/>
              </w:rPr>
              <w:t>是□    否□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2122" w:type="dxa"/>
            <w:noWrap w:val="0"/>
            <w:vAlign w:val="center"/>
          </w:tcPr>
          <w:p>
            <w:pPr>
              <w:shd w:val="clear"/>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服务期</w:t>
            </w:r>
          </w:p>
        </w:tc>
        <w:tc>
          <w:tcPr>
            <w:tcW w:w="5953" w:type="dxa"/>
            <w:noWrap w:val="0"/>
            <w:vAlign w:val="center"/>
          </w:tcPr>
          <w:p>
            <w:pPr>
              <w:shd w:val="clear"/>
              <w:spacing w:line="360" w:lineRule="auto"/>
              <w:rPr>
                <w:rFonts w:hint="default" w:ascii="仿宋" w:hAnsi="仿宋" w:eastAsia="仿宋" w:cs="仿宋"/>
                <w:b/>
                <w:bCs/>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5" w:hRule="atLeast"/>
          <w:jc w:val="center"/>
        </w:trPr>
        <w:tc>
          <w:tcPr>
            <w:tcW w:w="2122" w:type="dxa"/>
            <w:noWrap w:val="0"/>
            <w:vAlign w:val="center"/>
          </w:tcPr>
          <w:p>
            <w:pPr>
              <w:shd w:val="clear"/>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备注</w:t>
            </w:r>
            <w:r>
              <w:rPr>
                <w:rFonts w:hint="eastAsia" w:ascii="仿宋" w:hAnsi="仿宋" w:eastAsia="仿宋" w:cs="仿宋"/>
                <w:b/>
                <w:color w:val="auto"/>
                <w:szCs w:val="21"/>
                <w:highlight w:val="none"/>
              </w:rPr>
              <w:t>说明</w:t>
            </w:r>
          </w:p>
        </w:tc>
        <w:tc>
          <w:tcPr>
            <w:tcW w:w="5953" w:type="dxa"/>
            <w:noWrap w:val="0"/>
            <w:vAlign w:val="center"/>
          </w:tcPr>
          <w:p>
            <w:pPr>
              <w:shd w:val="clear"/>
              <w:spacing w:line="360" w:lineRule="auto"/>
              <w:jc w:val="both"/>
              <w:rPr>
                <w:rFonts w:hint="eastAsia" w:ascii="仿宋" w:hAnsi="仿宋" w:eastAsia="仿宋" w:cs="仿宋"/>
                <w:b/>
                <w:color w:val="auto"/>
                <w:szCs w:val="21"/>
                <w:highlight w:val="none"/>
              </w:rPr>
            </w:pPr>
          </w:p>
        </w:tc>
      </w:tr>
    </w:tbl>
    <w:p>
      <w:pPr>
        <w:shd w:val="clear"/>
        <w:spacing w:line="360" w:lineRule="auto"/>
        <w:rPr>
          <w:rFonts w:hint="eastAsia" w:ascii="仿宋" w:hAnsi="仿宋" w:eastAsia="仿宋" w:cs="仿宋"/>
          <w:color w:val="auto"/>
          <w:szCs w:val="21"/>
          <w:highlight w:val="none"/>
        </w:rPr>
      </w:pPr>
    </w:p>
    <w:p>
      <w:pPr>
        <w:shd w:val="clea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谈判</w:t>
      </w:r>
      <w:r>
        <w:rPr>
          <w:rFonts w:hint="eastAsia" w:ascii="仿宋" w:hAnsi="仿宋" w:eastAsia="仿宋" w:cs="仿宋"/>
          <w:color w:val="auto"/>
          <w:szCs w:val="21"/>
          <w:highlight w:val="none"/>
        </w:rPr>
        <w:t>供应商公章：                                          代理人签字：</w:t>
      </w:r>
    </w:p>
    <w:p>
      <w:pPr>
        <w:shd w:val="clear"/>
        <w:spacing w:line="360" w:lineRule="auto"/>
        <w:ind w:firstLine="420" w:firstLineChars="20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  月  日</w:t>
      </w:r>
    </w:p>
    <w:p>
      <w:pPr>
        <w:shd w:val="clear"/>
        <w:spacing w:line="360" w:lineRule="auto"/>
        <w:ind w:firstLine="421" w:firstLineChars="200"/>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注：本页&lt;最终报价书&gt;由</w:t>
      </w:r>
      <w:r>
        <w:rPr>
          <w:rFonts w:hint="eastAsia" w:ascii="仿宋" w:hAnsi="仿宋" w:eastAsia="仿宋" w:cs="仿宋"/>
          <w:b/>
          <w:bCs/>
          <w:color w:val="auto"/>
          <w:szCs w:val="21"/>
          <w:highlight w:val="none"/>
          <w:lang w:eastAsia="zh-CN"/>
        </w:rPr>
        <w:t>谈判</w:t>
      </w:r>
      <w:r>
        <w:rPr>
          <w:rFonts w:hint="eastAsia" w:ascii="仿宋" w:hAnsi="仿宋" w:eastAsia="仿宋" w:cs="仿宋"/>
          <w:b/>
          <w:bCs/>
          <w:color w:val="auto"/>
          <w:szCs w:val="21"/>
          <w:highlight w:val="none"/>
        </w:rPr>
        <w:t>供应商在</w:t>
      </w:r>
      <w:r>
        <w:rPr>
          <w:rFonts w:hint="eastAsia" w:ascii="仿宋" w:hAnsi="仿宋" w:eastAsia="仿宋" w:cs="仿宋"/>
          <w:b/>
          <w:bCs/>
          <w:color w:val="auto"/>
          <w:szCs w:val="21"/>
          <w:highlight w:val="none"/>
          <w:lang w:eastAsia="zh-CN"/>
        </w:rPr>
        <w:t>谈判</w:t>
      </w:r>
      <w:r>
        <w:rPr>
          <w:rFonts w:hint="eastAsia" w:ascii="仿宋" w:hAnsi="仿宋" w:eastAsia="仿宋" w:cs="仿宋"/>
          <w:b/>
          <w:bCs/>
          <w:color w:val="auto"/>
          <w:szCs w:val="21"/>
          <w:highlight w:val="none"/>
        </w:rPr>
        <w:t>现场依</w:t>
      </w:r>
      <w:r>
        <w:rPr>
          <w:rFonts w:hint="eastAsia" w:ascii="仿宋" w:hAnsi="仿宋" w:eastAsia="仿宋" w:cs="仿宋"/>
          <w:b/>
          <w:bCs/>
          <w:color w:val="auto"/>
          <w:szCs w:val="21"/>
          <w:highlight w:val="none"/>
          <w:lang w:eastAsia="zh-CN"/>
        </w:rPr>
        <w:t>谈判</w:t>
      </w:r>
      <w:r>
        <w:rPr>
          <w:rFonts w:hint="eastAsia" w:ascii="仿宋" w:hAnsi="仿宋" w:eastAsia="仿宋" w:cs="仿宋"/>
          <w:b/>
          <w:bCs/>
          <w:color w:val="auto"/>
          <w:szCs w:val="21"/>
          <w:highlight w:val="none"/>
        </w:rPr>
        <w:t>情况填写，请加盖公章后带至</w:t>
      </w:r>
      <w:r>
        <w:rPr>
          <w:rFonts w:hint="eastAsia" w:ascii="仿宋" w:hAnsi="仿宋" w:eastAsia="仿宋" w:cs="仿宋"/>
          <w:b/>
          <w:bCs/>
          <w:color w:val="auto"/>
          <w:szCs w:val="21"/>
          <w:highlight w:val="none"/>
          <w:lang w:eastAsia="zh-CN"/>
        </w:rPr>
        <w:t>谈判</w:t>
      </w:r>
      <w:r>
        <w:rPr>
          <w:rFonts w:hint="eastAsia" w:ascii="仿宋" w:hAnsi="仿宋" w:eastAsia="仿宋" w:cs="仿宋"/>
          <w:b/>
          <w:bCs/>
          <w:color w:val="auto"/>
          <w:szCs w:val="21"/>
          <w:highlight w:val="none"/>
        </w:rPr>
        <w:t>现场备填（不需装订在</w:t>
      </w:r>
      <w:r>
        <w:rPr>
          <w:rFonts w:hint="eastAsia" w:ascii="仿宋" w:hAnsi="仿宋" w:eastAsia="仿宋" w:cs="仿宋"/>
          <w:b/>
          <w:bCs/>
          <w:color w:val="auto"/>
          <w:szCs w:val="21"/>
          <w:highlight w:val="none"/>
          <w:lang w:eastAsia="zh-CN"/>
        </w:rPr>
        <w:t>谈判</w:t>
      </w:r>
      <w:r>
        <w:rPr>
          <w:rFonts w:hint="eastAsia" w:ascii="仿宋" w:hAnsi="仿宋" w:eastAsia="仿宋" w:cs="仿宋"/>
          <w:b/>
          <w:bCs/>
          <w:color w:val="auto"/>
          <w:szCs w:val="21"/>
          <w:highlight w:val="none"/>
        </w:rPr>
        <w:t>响应文件内，请准备不少于两张），</w:t>
      </w:r>
      <w:r>
        <w:rPr>
          <w:rFonts w:hint="eastAsia" w:ascii="仿宋" w:hAnsi="仿宋" w:eastAsia="仿宋" w:cs="仿宋"/>
          <w:b/>
          <w:bCs/>
          <w:color w:val="auto"/>
          <w:szCs w:val="21"/>
          <w:highlight w:val="none"/>
          <w:u w:val="single"/>
        </w:rPr>
        <w:t>该表供</w:t>
      </w:r>
      <w:r>
        <w:rPr>
          <w:rFonts w:hint="eastAsia" w:ascii="仿宋" w:hAnsi="仿宋" w:eastAsia="仿宋" w:cs="仿宋"/>
          <w:b/>
          <w:bCs/>
          <w:color w:val="auto"/>
          <w:szCs w:val="21"/>
          <w:highlight w:val="none"/>
          <w:u w:val="single"/>
          <w:lang w:eastAsia="zh-CN"/>
        </w:rPr>
        <w:t>谈判</w:t>
      </w:r>
      <w:r>
        <w:rPr>
          <w:rFonts w:hint="eastAsia" w:ascii="仿宋" w:hAnsi="仿宋" w:eastAsia="仿宋" w:cs="仿宋"/>
          <w:b/>
          <w:bCs/>
          <w:color w:val="auto"/>
          <w:szCs w:val="21"/>
          <w:highlight w:val="none"/>
          <w:u w:val="single"/>
        </w:rPr>
        <w:t>现场报价使用，打印该空表用于现场最终报价</w:t>
      </w:r>
      <w:r>
        <w:rPr>
          <w:rFonts w:hint="eastAsia" w:ascii="仿宋" w:hAnsi="仿宋" w:eastAsia="仿宋" w:cs="仿宋"/>
          <w:b/>
          <w:bCs/>
          <w:color w:val="auto"/>
          <w:szCs w:val="21"/>
          <w:highlight w:val="none"/>
        </w:rPr>
        <w:t>。</w:t>
      </w:r>
      <w:r>
        <w:rPr>
          <w:rFonts w:hint="eastAsia" w:ascii="仿宋" w:hAnsi="仿宋" w:eastAsia="仿宋" w:cs="仿宋"/>
          <w:color w:val="auto"/>
          <w:szCs w:val="21"/>
          <w:highlight w:val="none"/>
        </w:rPr>
        <w:t>谈判供应商填写的报价为基本收费价，合同总价。</w:t>
      </w:r>
    </w:p>
    <w:p>
      <w:pPr>
        <w:pStyle w:val="2"/>
        <w:shd w:val="clear"/>
        <w:rPr>
          <w:rFonts w:hint="eastAsia" w:ascii="仿宋" w:hAnsi="仿宋" w:eastAsia="仿宋" w:cs="仿宋"/>
          <w:color w:val="auto"/>
          <w:highlight w:val="none"/>
          <w:lang w:val="en-US" w:eastAsia="zh-CN"/>
        </w:rPr>
      </w:pPr>
    </w:p>
    <w:p>
      <w:pPr>
        <w:pStyle w:val="5"/>
        <w:shd w:val="clear"/>
        <w:ind w:right="-21" w:firstLine="540"/>
        <w:rPr>
          <w:rFonts w:ascii="宋体" w:hAnsi="宋体" w:eastAsia="宋体"/>
          <w:color w:val="auto"/>
          <w:highlight w:val="none"/>
        </w:rPr>
      </w:pPr>
    </w:p>
    <w:p>
      <w:pPr>
        <w:shd w:val="clear"/>
        <w:spacing w:line="360" w:lineRule="auto"/>
        <w:rPr>
          <w:rFonts w:hint="eastAsia" w:ascii="仿宋" w:hAnsi="仿宋" w:eastAsia="仿宋" w:cs="仿宋"/>
          <w:color w:val="auto"/>
          <w:sz w:val="28"/>
          <w:szCs w:val="28"/>
          <w:highlight w:val="none"/>
        </w:rPr>
      </w:pPr>
    </w:p>
    <w:bookmarkEnd w:id="8"/>
    <w:bookmarkEnd w:id="9"/>
    <w:p>
      <w:pPr>
        <w:shd w:val="clear"/>
        <w:rPr>
          <w:rFonts w:hint="eastAsia" w:ascii="仿宋" w:hAnsi="仿宋" w:eastAsia="仿宋" w:cs="仿宋"/>
          <w:color w:val="auto"/>
          <w:sz w:val="28"/>
          <w:szCs w:val="28"/>
          <w:highlight w:val="none"/>
        </w:rPr>
      </w:pPr>
    </w:p>
    <w:sectPr>
      <w:headerReference r:id="rId5" w:type="default"/>
      <w:footerReference r:id="rId6" w:type="default"/>
      <w:pgSz w:w="11907" w:h="16840"/>
      <w:pgMar w:top="1440" w:right="1247" w:bottom="1440" w:left="1247" w:header="851" w:footer="992" w:gutter="0"/>
      <w:cols w:space="720" w:num="1"/>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宋?">
    <w:altName w:val="方正书宋_GBK"/>
    <w:panose1 w:val="00000000000000000000"/>
    <w:charset w:val="81"/>
    <w:family w:val="roman"/>
    <w:pitch w:val="default"/>
    <w:sig w:usb0="00000000" w:usb1="00000000" w:usb2="00000000" w:usb3="00000000" w:csb0="00080000" w:csb1="00000000"/>
  </w:font>
  <w:font w:name="楷体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monospace">
    <w:altName w:val="仿宋"/>
    <w:panose1 w:val="00000000000000000000"/>
    <w:charset w:val="00"/>
    <w:family w:val="auto"/>
    <w:pitch w:val="default"/>
    <w:sig w:usb0="00000000" w:usb1="00000000" w:usb2="00000000" w:usb3="00000000" w:csb0="00000000" w:csb1="00000000"/>
  </w:font>
  <w:font w:name="Tahoma">
    <w:altName w:val="DejaVu Sans"/>
    <w:panose1 w:val="020B0604030504040204"/>
    <w:charset w:val="00"/>
    <w:family w:val="swiss"/>
    <w:pitch w:val="default"/>
    <w:sig w:usb0="00000000" w:usb1="00000000" w:usb2="00000029" w:usb3="00000000" w:csb0="200101FF" w:csb1="20280000"/>
  </w:font>
  <w:font w:name="幼圆">
    <w:altName w:val="仿宋"/>
    <w:panose1 w:val="0201050906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fldChar w:fldCharType="begin"/>
    </w:r>
    <w:r>
      <w:instrText xml:space="preserve"> PAGE   \* MERGEFORMAT </w:instrText>
    </w:r>
    <w:r>
      <w:fldChar w:fldCharType="separate"/>
    </w:r>
    <w:r>
      <w:rPr>
        <w:lang w:val="zh-CN"/>
      </w:rPr>
      <w:t>41</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B6B33"/>
    <w:multiLevelType w:val="multilevel"/>
    <w:tmpl w:val="D44B6B33"/>
    <w:lvl w:ilvl="0" w:tentative="0">
      <w:start w:val="2"/>
      <w:numFmt w:val="decimal"/>
      <w:lvlText w:val="%1."/>
      <w:lvlJc w:val="left"/>
      <w:pPr>
        <w:tabs>
          <w:tab w:val="left" w:pos="312"/>
        </w:tabs>
      </w:pPr>
      <w:rPr>
        <w:rFonts w:hint="default"/>
        <w:b/>
        <w:bCs/>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5C027B2A"/>
    <w:multiLevelType w:val="multilevel"/>
    <w:tmpl w:val="5C027B2A"/>
    <w:lvl w:ilvl="0" w:tentative="0">
      <w:start w:val="1"/>
      <w:numFmt w:val="japaneseCounting"/>
      <w:lvlText w:val="%1、"/>
      <w:lvlJc w:val="left"/>
      <w:pPr>
        <w:tabs>
          <w:tab w:val="left" w:pos="720"/>
        </w:tabs>
        <w:ind w:left="720" w:hanging="72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980"/>
        </w:tabs>
        <w:ind w:left="1980" w:hanging="720"/>
      </w:pPr>
      <w:rPr>
        <w:rFonts w:hint="default"/>
      </w:rPr>
    </w:lvl>
    <w:lvl w:ilvl="4" w:tentative="0">
      <w:start w:val="1"/>
      <w:numFmt w:val="decimal"/>
      <w:lvlText w:val="%5．"/>
      <w:lvlJc w:val="left"/>
      <w:pPr>
        <w:tabs>
          <w:tab w:val="left" w:pos="2400"/>
        </w:tabs>
        <w:ind w:left="2400" w:hanging="720"/>
      </w:pPr>
      <w:rPr>
        <w:rFonts w:hint="default"/>
        <w:b w:val="0"/>
        <w:sz w:val="21"/>
        <w:szCs w:val="21"/>
      </w:rPr>
    </w:lvl>
    <w:lvl w:ilvl="5" w:tentative="0">
      <w:start w:val="1"/>
      <w:numFmt w:val="lowerLetter"/>
      <w:lvlText w:val="%6）"/>
      <w:lvlJc w:val="left"/>
      <w:pPr>
        <w:tabs>
          <w:tab w:val="left" w:pos="2820"/>
        </w:tabs>
        <w:ind w:left="2820" w:hanging="720"/>
      </w:pPr>
      <w:rPr>
        <w:rFonts w:hint="default"/>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TrueTypeFonts/>
  <w:saveSubsetFonts/>
  <w:bordersDoNotSurroundHeader w:val="false"/>
  <w:bordersDoNotSurroundFooter w:val="false"/>
  <w:hideSpellingErrors/>
  <w:documentProtection w:enforcement="0"/>
  <w:defaultTabStop w:val="425"/>
  <w:drawingGridHorizontalSpacing w:val="111"/>
  <w:drawingGridVerticalSpacing w:val="145"/>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2OGEwMDBiNTZjYmY1MjY3ZTZlYTllNjcxYzEyMTQifQ=="/>
    <w:docVar w:name="KSO_WPS_MARK_KEY" w:val="6ba79dde-5309-4ea7-a34b-ad48c67b8119"/>
  </w:docVars>
  <w:rsids>
    <w:rsidRoot w:val="00E242DC"/>
    <w:rsid w:val="00000284"/>
    <w:rsid w:val="00006826"/>
    <w:rsid w:val="000108D2"/>
    <w:rsid w:val="00013ABB"/>
    <w:rsid w:val="00015AC8"/>
    <w:rsid w:val="0001653C"/>
    <w:rsid w:val="00021A65"/>
    <w:rsid w:val="00024275"/>
    <w:rsid w:val="0002477E"/>
    <w:rsid w:val="00030E94"/>
    <w:rsid w:val="00037594"/>
    <w:rsid w:val="00041A05"/>
    <w:rsid w:val="00044660"/>
    <w:rsid w:val="00046544"/>
    <w:rsid w:val="00054B52"/>
    <w:rsid w:val="00055DF3"/>
    <w:rsid w:val="0005670E"/>
    <w:rsid w:val="00056DEE"/>
    <w:rsid w:val="00060980"/>
    <w:rsid w:val="00061A23"/>
    <w:rsid w:val="0006219C"/>
    <w:rsid w:val="0007261F"/>
    <w:rsid w:val="00073197"/>
    <w:rsid w:val="00074F3F"/>
    <w:rsid w:val="00075E23"/>
    <w:rsid w:val="00080F5D"/>
    <w:rsid w:val="00082FA6"/>
    <w:rsid w:val="0009131C"/>
    <w:rsid w:val="00093F8E"/>
    <w:rsid w:val="0009644D"/>
    <w:rsid w:val="00096BBD"/>
    <w:rsid w:val="000A0511"/>
    <w:rsid w:val="000A611A"/>
    <w:rsid w:val="000A6273"/>
    <w:rsid w:val="000B0F9D"/>
    <w:rsid w:val="000C1B2F"/>
    <w:rsid w:val="000C3DEC"/>
    <w:rsid w:val="000C5618"/>
    <w:rsid w:val="000C6291"/>
    <w:rsid w:val="000C7808"/>
    <w:rsid w:val="000C7822"/>
    <w:rsid w:val="000C7984"/>
    <w:rsid w:val="000D11B9"/>
    <w:rsid w:val="000D1338"/>
    <w:rsid w:val="000D17B2"/>
    <w:rsid w:val="000D75C0"/>
    <w:rsid w:val="000E2061"/>
    <w:rsid w:val="000E4989"/>
    <w:rsid w:val="000E7C68"/>
    <w:rsid w:val="000F05AF"/>
    <w:rsid w:val="000F19D7"/>
    <w:rsid w:val="000F1D6C"/>
    <w:rsid w:val="000F3407"/>
    <w:rsid w:val="000F77F4"/>
    <w:rsid w:val="0011014E"/>
    <w:rsid w:val="00111417"/>
    <w:rsid w:val="00111891"/>
    <w:rsid w:val="0011215D"/>
    <w:rsid w:val="00112A19"/>
    <w:rsid w:val="001137FA"/>
    <w:rsid w:val="00121245"/>
    <w:rsid w:val="0012620B"/>
    <w:rsid w:val="00126F9B"/>
    <w:rsid w:val="00127205"/>
    <w:rsid w:val="001278BA"/>
    <w:rsid w:val="0013181E"/>
    <w:rsid w:val="001327C9"/>
    <w:rsid w:val="00135FE6"/>
    <w:rsid w:val="00140892"/>
    <w:rsid w:val="00145222"/>
    <w:rsid w:val="001459CE"/>
    <w:rsid w:val="00145ECF"/>
    <w:rsid w:val="001679B9"/>
    <w:rsid w:val="00173308"/>
    <w:rsid w:val="0017598F"/>
    <w:rsid w:val="00177C8D"/>
    <w:rsid w:val="001806FE"/>
    <w:rsid w:val="001854D4"/>
    <w:rsid w:val="001A1A02"/>
    <w:rsid w:val="001A2915"/>
    <w:rsid w:val="001A6837"/>
    <w:rsid w:val="001B0513"/>
    <w:rsid w:val="001B102A"/>
    <w:rsid w:val="001B1C93"/>
    <w:rsid w:val="001B47AB"/>
    <w:rsid w:val="001B5CCA"/>
    <w:rsid w:val="001C180A"/>
    <w:rsid w:val="001C4313"/>
    <w:rsid w:val="001C4560"/>
    <w:rsid w:val="001C4F78"/>
    <w:rsid w:val="001D080D"/>
    <w:rsid w:val="001D1883"/>
    <w:rsid w:val="001D18D9"/>
    <w:rsid w:val="001D7D62"/>
    <w:rsid w:val="001E0453"/>
    <w:rsid w:val="001E1115"/>
    <w:rsid w:val="001F06A6"/>
    <w:rsid w:val="001F1E52"/>
    <w:rsid w:val="001F3CE8"/>
    <w:rsid w:val="001F47B5"/>
    <w:rsid w:val="00200D69"/>
    <w:rsid w:val="0020531A"/>
    <w:rsid w:val="00206FC9"/>
    <w:rsid w:val="00211051"/>
    <w:rsid w:val="0021297F"/>
    <w:rsid w:val="00213CF9"/>
    <w:rsid w:val="00214C84"/>
    <w:rsid w:val="00217E46"/>
    <w:rsid w:val="0022421B"/>
    <w:rsid w:val="00230328"/>
    <w:rsid w:val="0023399D"/>
    <w:rsid w:val="00247804"/>
    <w:rsid w:val="0025587A"/>
    <w:rsid w:val="00257204"/>
    <w:rsid w:val="00260C39"/>
    <w:rsid w:val="002614D2"/>
    <w:rsid w:val="00262250"/>
    <w:rsid w:val="00265E8D"/>
    <w:rsid w:val="00266A7E"/>
    <w:rsid w:val="00272636"/>
    <w:rsid w:val="00283B96"/>
    <w:rsid w:val="00283BD0"/>
    <w:rsid w:val="002937D7"/>
    <w:rsid w:val="002940E3"/>
    <w:rsid w:val="002A025B"/>
    <w:rsid w:val="002A18CE"/>
    <w:rsid w:val="002B5CF4"/>
    <w:rsid w:val="002B75A0"/>
    <w:rsid w:val="002C36A7"/>
    <w:rsid w:val="002C406E"/>
    <w:rsid w:val="002D0BBF"/>
    <w:rsid w:val="002D4EB2"/>
    <w:rsid w:val="002D5CC6"/>
    <w:rsid w:val="002E0B2A"/>
    <w:rsid w:val="002E7BEF"/>
    <w:rsid w:val="002F11DB"/>
    <w:rsid w:val="002F4EE9"/>
    <w:rsid w:val="00301A99"/>
    <w:rsid w:val="0031175D"/>
    <w:rsid w:val="00311B74"/>
    <w:rsid w:val="00312E93"/>
    <w:rsid w:val="003146BD"/>
    <w:rsid w:val="0031686A"/>
    <w:rsid w:val="00317484"/>
    <w:rsid w:val="00320BB2"/>
    <w:rsid w:val="00321433"/>
    <w:rsid w:val="003302BF"/>
    <w:rsid w:val="003335D0"/>
    <w:rsid w:val="00335A06"/>
    <w:rsid w:val="00341224"/>
    <w:rsid w:val="00343966"/>
    <w:rsid w:val="00344545"/>
    <w:rsid w:val="00347322"/>
    <w:rsid w:val="00351094"/>
    <w:rsid w:val="00351722"/>
    <w:rsid w:val="003520A9"/>
    <w:rsid w:val="003530F3"/>
    <w:rsid w:val="00355D57"/>
    <w:rsid w:val="00361C0F"/>
    <w:rsid w:val="00370F24"/>
    <w:rsid w:val="00381DB3"/>
    <w:rsid w:val="00387117"/>
    <w:rsid w:val="003918B4"/>
    <w:rsid w:val="00391F06"/>
    <w:rsid w:val="0039645B"/>
    <w:rsid w:val="003A301A"/>
    <w:rsid w:val="003A6996"/>
    <w:rsid w:val="003B194A"/>
    <w:rsid w:val="003B2F5E"/>
    <w:rsid w:val="003B388C"/>
    <w:rsid w:val="003C230B"/>
    <w:rsid w:val="003C7BC3"/>
    <w:rsid w:val="003E098E"/>
    <w:rsid w:val="003E1BB9"/>
    <w:rsid w:val="003E2446"/>
    <w:rsid w:val="003F0B88"/>
    <w:rsid w:val="003F4F1C"/>
    <w:rsid w:val="003F67A0"/>
    <w:rsid w:val="00400372"/>
    <w:rsid w:val="0040078F"/>
    <w:rsid w:val="004026F0"/>
    <w:rsid w:val="00402D9C"/>
    <w:rsid w:val="00422E18"/>
    <w:rsid w:val="00423367"/>
    <w:rsid w:val="00432D8C"/>
    <w:rsid w:val="004336BA"/>
    <w:rsid w:val="004344E1"/>
    <w:rsid w:val="004437D9"/>
    <w:rsid w:val="00443F1F"/>
    <w:rsid w:val="00447CD1"/>
    <w:rsid w:val="00453887"/>
    <w:rsid w:val="00465775"/>
    <w:rsid w:val="00465906"/>
    <w:rsid w:val="00466676"/>
    <w:rsid w:val="00467941"/>
    <w:rsid w:val="00470F8C"/>
    <w:rsid w:val="00473B72"/>
    <w:rsid w:val="00482818"/>
    <w:rsid w:val="00496539"/>
    <w:rsid w:val="004965E8"/>
    <w:rsid w:val="0049758A"/>
    <w:rsid w:val="004A4867"/>
    <w:rsid w:val="004A6CD6"/>
    <w:rsid w:val="004B2C00"/>
    <w:rsid w:val="004B33BB"/>
    <w:rsid w:val="004B404D"/>
    <w:rsid w:val="004B547A"/>
    <w:rsid w:val="004C2275"/>
    <w:rsid w:val="004C43CB"/>
    <w:rsid w:val="004D6585"/>
    <w:rsid w:val="004E07D5"/>
    <w:rsid w:val="004F6DEF"/>
    <w:rsid w:val="005003EC"/>
    <w:rsid w:val="00500E1E"/>
    <w:rsid w:val="00504271"/>
    <w:rsid w:val="00505898"/>
    <w:rsid w:val="0051175C"/>
    <w:rsid w:val="0051238C"/>
    <w:rsid w:val="0051529D"/>
    <w:rsid w:val="005234D1"/>
    <w:rsid w:val="0052398A"/>
    <w:rsid w:val="00524815"/>
    <w:rsid w:val="0053391E"/>
    <w:rsid w:val="00541605"/>
    <w:rsid w:val="00545847"/>
    <w:rsid w:val="00545948"/>
    <w:rsid w:val="005473A7"/>
    <w:rsid w:val="0055521D"/>
    <w:rsid w:val="00565C4F"/>
    <w:rsid w:val="00567D8A"/>
    <w:rsid w:val="00570991"/>
    <w:rsid w:val="00571A5E"/>
    <w:rsid w:val="00572808"/>
    <w:rsid w:val="00572BF3"/>
    <w:rsid w:val="00573C5D"/>
    <w:rsid w:val="0058244A"/>
    <w:rsid w:val="00585556"/>
    <w:rsid w:val="005857BD"/>
    <w:rsid w:val="00594767"/>
    <w:rsid w:val="00594974"/>
    <w:rsid w:val="0059569A"/>
    <w:rsid w:val="005A702A"/>
    <w:rsid w:val="005B3F5B"/>
    <w:rsid w:val="005C0332"/>
    <w:rsid w:val="005C065A"/>
    <w:rsid w:val="005C0EA8"/>
    <w:rsid w:val="005C6538"/>
    <w:rsid w:val="005C6DDD"/>
    <w:rsid w:val="005D0057"/>
    <w:rsid w:val="005D1115"/>
    <w:rsid w:val="005D2988"/>
    <w:rsid w:val="005E1F64"/>
    <w:rsid w:val="005E3B24"/>
    <w:rsid w:val="005E4ADE"/>
    <w:rsid w:val="005F01A2"/>
    <w:rsid w:val="005F0685"/>
    <w:rsid w:val="005F302C"/>
    <w:rsid w:val="005F473A"/>
    <w:rsid w:val="005F4BCE"/>
    <w:rsid w:val="005F50B8"/>
    <w:rsid w:val="006109E7"/>
    <w:rsid w:val="00611252"/>
    <w:rsid w:val="00614134"/>
    <w:rsid w:val="00614321"/>
    <w:rsid w:val="0062069B"/>
    <w:rsid w:val="006221CC"/>
    <w:rsid w:val="00623B91"/>
    <w:rsid w:val="00623F4C"/>
    <w:rsid w:val="006247D1"/>
    <w:rsid w:val="0062615F"/>
    <w:rsid w:val="00634253"/>
    <w:rsid w:val="00637230"/>
    <w:rsid w:val="00643D61"/>
    <w:rsid w:val="00644644"/>
    <w:rsid w:val="00647048"/>
    <w:rsid w:val="00651C05"/>
    <w:rsid w:val="00652C36"/>
    <w:rsid w:val="00655ADF"/>
    <w:rsid w:val="00656F09"/>
    <w:rsid w:val="0066124A"/>
    <w:rsid w:val="00661658"/>
    <w:rsid w:val="00661BD5"/>
    <w:rsid w:val="00661EBB"/>
    <w:rsid w:val="0066347D"/>
    <w:rsid w:val="0066392D"/>
    <w:rsid w:val="006653D1"/>
    <w:rsid w:val="00666593"/>
    <w:rsid w:val="006707C2"/>
    <w:rsid w:val="00670E7B"/>
    <w:rsid w:val="006717CC"/>
    <w:rsid w:val="00674DA3"/>
    <w:rsid w:val="00681802"/>
    <w:rsid w:val="006846A3"/>
    <w:rsid w:val="006848E6"/>
    <w:rsid w:val="006860F2"/>
    <w:rsid w:val="00686933"/>
    <w:rsid w:val="00687860"/>
    <w:rsid w:val="00691DFB"/>
    <w:rsid w:val="006933E5"/>
    <w:rsid w:val="00697133"/>
    <w:rsid w:val="006972F7"/>
    <w:rsid w:val="006A1C33"/>
    <w:rsid w:val="006B1A99"/>
    <w:rsid w:val="006C24AC"/>
    <w:rsid w:val="006C4111"/>
    <w:rsid w:val="006C5BA9"/>
    <w:rsid w:val="006D20AB"/>
    <w:rsid w:val="006E2D02"/>
    <w:rsid w:val="006E4C78"/>
    <w:rsid w:val="006F1C6E"/>
    <w:rsid w:val="006F3A90"/>
    <w:rsid w:val="006F3D89"/>
    <w:rsid w:val="006F4108"/>
    <w:rsid w:val="006F630A"/>
    <w:rsid w:val="007019D2"/>
    <w:rsid w:val="00702DEA"/>
    <w:rsid w:val="00714561"/>
    <w:rsid w:val="00721DC9"/>
    <w:rsid w:val="00727802"/>
    <w:rsid w:val="00735185"/>
    <w:rsid w:val="0074282D"/>
    <w:rsid w:val="007524BA"/>
    <w:rsid w:val="00755FEC"/>
    <w:rsid w:val="0075681B"/>
    <w:rsid w:val="0076292D"/>
    <w:rsid w:val="00765F51"/>
    <w:rsid w:val="00771BB8"/>
    <w:rsid w:val="007722C3"/>
    <w:rsid w:val="007747BB"/>
    <w:rsid w:val="007802AF"/>
    <w:rsid w:val="00785808"/>
    <w:rsid w:val="0079174B"/>
    <w:rsid w:val="0079798F"/>
    <w:rsid w:val="007A6F63"/>
    <w:rsid w:val="007B0934"/>
    <w:rsid w:val="007B11AA"/>
    <w:rsid w:val="007B2239"/>
    <w:rsid w:val="007B49BB"/>
    <w:rsid w:val="007B7D50"/>
    <w:rsid w:val="007C1B1F"/>
    <w:rsid w:val="007C4858"/>
    <w:rsid w:val="007C4E7B"/>
    <w:rsid w:val="007C64FF"/>
    <w:rsid w:val="007D4264"/>
    <w:rsid w:val="007D4E1B"/>
    <w:rsid w:val="007E0869"/>
    <w:rsid w:val="007E104F"/>
    <w:rsid w:val="007E2DE1"/>
    <w:rsid w:val="007E784C"/>
    <w:rsid w:val="007E79CC"/>
    <w:rsid w:val="007F772B"/>
    <w:rsid w:val="008002C9"/>
    <w:rsid w:val="00811BF3"/>
    <w:rsid w:val="00814B6B"/>
    <w:rsid w:val="00815084"/>
    <w:rsid w:val="00816AB4"/>
    <w:rsid w:val="00821033"/>
    <w:rsid w:val="0082332A"/>
    <w:rsid w:val="00824D10"/>
    <w:rsid w:val="008252BC"/>
    <w:rsid w:val="008265DC"/>
    <w:rsid w:val="00835293"/>
    <w:rsid w:val="00846CA1"/>
    <w:rsid w:val="00846FB6"/>
    <w:rsid w:val="00850985"/>
    <w:rsid w:val="00854519"/>
    <w:rsid w:val="008549A7"/>
    <w:rsid w:val="00856486"/>
    <w:rsid w:val="00862B6C"/>
    <w:rsid w:val="0087068E"/>
    <w:rsid w:val="00877369"/>
    <w:rsid w:val="0088779F"/>
    <w:rsid w:val="00890A29"/>
    <w:rsid w:val="00894334"/>
    <w:rsid w:val="008A3DC0"/>
    <w:rsid w:val="008A6DA0"/>
    <w:rsid w:val="008B32CD"/>
    <w:rsid w:val="008C14BC"/>
    <w:rsid w:val="008D3350"/>
    <w:rsid w:val="008D463E"/>
    <w:rsid w:val="008D4EA8"/>
    <w:rsid w:val="008D4FF4"/>
    <w:rsid w:val="008E0831"/>
    <w:rsid w:val="008E1266"/>
    <w:rsid w:val="008E1A68"/>
    <w:rsid w:val="008F7772"/>
    <w:rsid w:val="0090040F"/>
    <w:rsid w:val="0090203D"/>
    <w:rsid w:val="00902E59"/>
    <w:rsid w:val="0090487A"/>
    <w:rsid w:val="00905F19"/>
    <w:rsid w:val="00906ABD"/>
    <w:rsid w:val="00914611"/>
    <w:rsid w:val="009151F9"/>
    <w:rsid w:val="00915BE5"/>
    <w:rsid w:val="00924F05"/>
    <w:rsid w:val="009251E3"/>
    <w:rsid w:val="0092592A"/>
    <w:rsid w:val="00926300"/>
    <w:rsid w:val="00932021"/>
    <w:rsid w:val="00940675"/>
    <w:rsid w:val="00945462"/>
    <w:rsid w:val="009455DD"/>
    <w:rsid w:val="00945F35"/>
    <w:rsid w:val="009530C9"/>
    <w:rsid w:val="009556FB"/>
    <w:rsid w:val="00956971"/>
    <w:rsid w:val="00957FD7"/>
    <w:rsid w:val="00961E4E"/>
    <w:rsid w:val="00965826"/>
    <w:rsid w:val="0096761B"/>
    <w:rsid w:val="00967978"/>
    <w:rsid w:val="0097094E"/>
    <w:rsid w:val="009716C6"/>
    <w:rsid w:val="0098053B"/>
    <w:rsid w:val="00984235"/>
    <w:rsid w:val="00984A9A"/>
    <w:rsid w:val="00991422"/>
    <w:rsid w:val="009919CE"/>
    <w:rsid w:val="00991BDF"/>
    <w:rsid w:val="00996F97"/>
    <w:rsid w:val="00997601"/>
    <w:rsid w:val="009A1828"/>
    <w:rsid w:val="009A7EA4"/>
    <w:rsid w:val="009B301C"/>
    <w:rsid w:val="009C2348"/>
    <w:rsid w:val="009C4BDB"/>
    <w:rsid w:val="009D3070"/>
    <w:rsid w:val="009D36B4"/>
    <w:rsid w:val="009E2D31"/>
    <w:rsid w:val="009E5C07"/>
    <w:rsid w:val="00A021D0"/>
    <w:rsid w:val="00A05307"/>
    <w:rsid w:val="00A05C3E"/>
    <w:rsid w:val="00A11AF3"/>
    <w:rsid w:val="00A220E8"/>
    <w:rsid w:val="00A2304E"/>
    <w:rsid w:val="00A303F0"/>
    <w:rsid w:val="00A3312A"/>
    <w:rsid w:val="00A45AC0"/>
    <w:rsid w:val="00A46229"/>
    <w:rsid w:val="00A5199D"/>
    <w:rsid w:val="00A54364"/>
    <w:rsid w:val="00A557CA"/>
    <w:rsid w:val="00A55B08"/>
    <w:rsid w:val="00A57887"/>
    <w:rsid w:val="00A65F65"/>
    <w:rsid w:val="00A75141"/>
    <w:rsid w:val="00A75424"/>
    <w:rsid w:val="00A754C5"/>
    <w:rsid w:val="00A77542"/>
    <w:rsid w:val="00A77FDB"/>
    <w:rsid w:val="00A83679"/>
    <w:rsid w:val="00A853B8"/>
    <w:rsid w:val="00A93610"/>
    <w:rsid w:val="00A94034"/>
    <w:rsid w:val="00AB01A4"/>
    <w:rsid w:val="00AC39C6"/>
    <w:rsid w:val="00AC6B98"/>
    <w:rsid w:val="00AD53FA"/>
    <w:rsid w:val="00AD7D28"/>
    <w:rsid w:val="00AE1525"/>
    <w:rsid w:val="00AE3942"/>
    <w:rsid w:val="00AE7558"/>
    <w:rsid w:val="00AF1A08"/>
    <w:rsid w:val="00AF1CDE"/>
    <w:rsid w:val="00AF4505"/>
    <w:rsid w:val="00B0388C"/>
    <w:rsid w:val="00B04AC6"/>
    <w:rsid w:val="00B06A9A"/>
    <w:rsid w:val="00B123DD"/>
    <w:rsid w:val="00B1776E"/>
    <w:rsid w:val="00B2137F"/>
    <w:rsid w:val="00B21B6E"/>
    <w:rsid w:val="00B24AB1"/>
    <w:rsid w:val="00B24B3E"/>
    <w:rsid w:val="00B27F44"/>
    <w:rsid w:val="00B32A15"/>
    <w:rsid w:val="00B3625D"/>
    <w:rsid w:val="00B36551"/>
    <w:rsid w:val="00B40532"/>
    <w:rsid w:val="00B41B2D"/>
    <w:rsid w:val="00B51C9E"/>
    <w:rsid w:val="00B67897"/>
    <w:rsid w:val="00B82CEE"/>
    <w:rsid w:val="00B831C2"/>
    <w:rsid w:val="00B872F9"/>
    <w:rsid w:val="00B87B9F"/>
    <w:rsid w:val="00B953EA"/>
    <w:rsid w:val="00BA36ED"/>
    <w:rsid w:val="00BA48FB"/>
    <w:rsid w:val="00BA7728"/>
    <w:rsid w:val="00BB2689"/>
    <w:rsid w:val="00BB48BC"/>
    <w:rsid w:val="00BB4ED7"/>
    <w:rsid w:val="00BC051A"/>
    <w:rsid w:val="00BC6806"/>
    <w:rsid w:val="00BD0666"/>
    <w:rsid w:val="00BD7E9B"/>
    <w:rsid w:val="00BE42E4"/>
    <w:rsid w:val="00BF46BF"/>
    <w:rsid w:val="00BF77AD"/>
    <w:rsid w:val="00C04134"/>
    <w:rsid w:val="00C075EA"/>
    <w:rsid w:val="00C122E9"/>
    <w:rsid w:val="00C137B8"/>
    <w:rsid w:val="00C166EB"/>
    <w:rsid w:val="00C17012"/>
    <w:rsid w:val="00C175F8"/>
    <w:rsid w:val="00C20697"/>
    <w:rsid w:val="00C27755"/>
    <w:rsid w:val="00C320E9"/>
    <w:rsid w:val="00C322A4"/>
    <w:rsid w:val="00C32D57"/>
    <w:rsid w:val="00C333F7"/>
    <w:rsid w:val="00C34AC2"/>
    <w:rsid w:val="00C47B98"/>
    <w:rsid w:val="00C53E69"/>
    <w:rsid w:val="00C53FC4"/>
    <w:rsid w:val="00C55385"/>
    <w:rsid w:val="00C56110"/>
    <w:rsid w:val="00C56D8B"/>
    <w:rsid w:val="00C60D81"/>
    <w:rsid w:val="00C65A60"/>
    <w:rsid w:val="00C66C62"/>
    <w:rsid w:val="00C71F38"/>
    <w:rsid w:val="00C85AA3"/>
    <w:rsid w:val="00C8741A"/>
    <w:rsid w:val="00C90285"/>
    <w:rsid w:val="00C93271"/>
    <w:rsid w:val="00CA115F"/>
    <w:rsid w:val="00CA67FD"/>
    <w:rsid w:val="00CB25C3"/>
    <w:rsid w:val="00CB308B"/>
    <w:rsid w:val="00CC1CBE"/>
    <w:rsid w:val="00CD10C1"/>
    <w:rsid w:val="00CD5166"/>
    <w:rsid w:val="00CD6F28"/>
    <w:rsid w:val="00CF2965"/>
    <w:rsid w:val="00CF2DA8"/>
    <w:rsid w:val="00D00B5C"/>
    <w:rsid w:val="00D02BA5"/>
    <w:rsid w:val="00D0673C"/>
    <w:rsid w:val="00D141C0"/>
    <w:rsid w:val="00D204C9"/>
    <w:rsid w:val="00D26E46"/>
    <w:rsid w:val="00D32657"/>
    <w:rsid w:val="00D33297"/>
    <w:rsid w:val="00D35946"/>
    <w:rsid w:val="00D36B38"/>
    <w:rsid w:val="00D37ED0"/>
    <w:rsid w:val="00D41299"/>
    <w:rsid w:val="00D514CE"/>
    <w:rsid w:val="00D52556"/>
    <w:rsid w:val="00D57BA5"/>
    <w:rsid w:val="00D60C85"/>
    <w:rsid w:val="00D61B36"/>
    <w:rsid w:val="00D63762"/>
    <w:rsid w:val="00D664A2"/>
    <w:rsid w:val="00D6659C"/>
    <w:rsid w:val="00D71C51"/>
    <w:rsid w:val="00D77185"/>
    <w:rsid w:val="00D8056D"/>
    <w:rsid w:val="00D81B94"/>
    <w:rsid w:val="00D83304"/>
    <w:rsid w:val="00D8588A"/>
    <w:rsid w:val="00D8631E"/>
    <w:rsid w:val="00D90953"/>
    <w:rsid w:val="00D91318"/>
    <w:rsid w:val="00D92B40"/>
    <w:rsid w:val="00D92F6A"/>
    <w:rsid w:val="00D93551"/>
    <w:rsid w:val="00D958E8"/>
    <w:rsid w:val="00D961B1"/>
    <w:rsid w:val="00DA3B55"/>
    <w:rsid w:val="00DB1257"/>
    <w:rsid w:val="00DB57A8"/>
    <w:rsid w:val="00DB757C"/>
    <w:rsid w:val="00DC0A66"/>
    <w:rsid w:val="00DC4B9C"/>
    <w:rsid w:val="00DC53BB"/>
    <w:rsid w:val="00DC7F35"/>
    <w:rsid w:val="00DD02E6"/>
    <w:rsid w:val="00DD0C67"/>
    <w:rsid w:val="00DD6962"/>
    <w:rsid w:val="00DD7027"/>
    <w:rsid w:val="00DD7753"/>
    <w:rsid w:val="00DF149E"/>
    <w:rsid w:val="00E01567"/>
    <w:rsid w:val="00E035F5"/>
    <w:rsid w:val="00E048EE"/>
    <w:rsid w:val="00E11437"/>
    <w:rsid w:val="00E12057"/>
    <w:rsid w:val="00E12B04"/>
    <w:rsid w:val="00E14705"/>
    <w:rsid w:val="00E1584C"/>
    <w:rsid w:val="00E20096"/>
    <w:rsid w:val="00E2388E"/>
    <w:rsid w:val="00E242DC"/>
    <w:rsid w:val="00E338CB"/>
    <w:rsid w:val="00E34C72"/>
    <w:rsid w:val="00E3520B"/>
    <w:rsid w:val="00E355CB"/>
    <w:rsid w:val="00E42119"/>
    <w:rsid w:val="00E461D0"/>
    <w:rsid w:val="00E51E3A"/>
    <w:rsid w:val="00E57D67"/>
    <w:rsid w:val="00E60E9F"/>
    <w:rsid w:val="00E64DE8"/>
    <w:rsid w:val="00E74DEE"/>
    <w:rsid w:val="00E83890"/>
    <w:rsid w:val="00E859E7"/>
    <w:rsid w:val="00E879D9"/>
    <w:rsid w:val="00E940AE"/>
    <w:rsid w:val="00E973FB"/>
    <w:rsid w:val="00EA1464"/>
    <w:rsid w:val="00EA3530"/>
    <w:rsid w:val="00EC40C9"/>
    <w:rsid w:val="00ED0B68"/>
    <w:rsid w:val="00ED60A1"/>
    <w:rsid w:val="00EE4EFD"/>
    <w:rsid w:val="00EF0A70"/>
    <w:rsid w:val="00EF15F5"/>
    <w:rsid w:val="00EF375D"/>
    <w:rsid w:val="00EF3D7B"/>
    <w:rsid w:val="00EF5D9D"/>
    <w:rsid w:val="00EF6AA0"/>
    <w:rsid w:val="00F128F6"/>
    <w:rsid w:val="00F137E9"/>
    <w:rsid w:val="00F162F5"/>
    <w:rsid w:val="00F17907"/>
    <w:rsid w:val="00F21004"/>
    <w:rsid w:val="00F2539E"/>
    <w:rsid w:val="00F26CE2"/>
    <w:rsid w:val="00F26D2B"/>
    <w:rsid w:val="00F26DB8"/>
    <w:rsid w:val="00F34465"/>
    <w:rsid w:val="00F353F3"/>
    <w:rsid w:val="00F35DAD"/>
    <w:rsid w:val="00F3661D"/>
    <w:rsid w:val="00F428A0"/>
    <w:rsid w:val="00F431D0"/>
    <w:rsid w:val="00F45328"/>
    <w:rsid w:val="00F5251E"/>
    <w:rsid w:val="00F64607"/>
    <w:rsid w:val="00F71CCF"/>
    <w:rsid w:val="00F7579E"/>
    <w:rsid w:val="00F76B84"/>
    <w:rsid w:val="00F77871"/>
    <w:rsid w:val="00F911E3"/>
    <w:rsid w:val="00FA31AE"/>
    <w:rsid w:val="00FA5368"/>
    <w:rsid w:val="00FA774C"/>
    <w:rsid w:val="00FB0555"/>
    <w:rsid w:val="00FB3530"/>
    <w:rsid w:val="00FB4105"/>
    <w:rsid w:val="00FB413B"/>
    <w:rsid w:val="00FB69B1"/>
    <w:rsid w:val="00FB6B3E"/>
    <w:rsid w:val="00FC007E"/>
    <w:rsid w:val="00FC3286"/>
    <w:rsid w:val="00FC4FE0"/>
    <w:rsid w:val="00FC6639"/>
    <w:rsid w:val="00FD12F1"/>
    <w:rsid w:val="00FD164D"/>
    <w:rsid w:val="00FD2FB2"/>
    <w:rsid w:val="00FD3DAA"/>
    <w:rsid w:val="00FE1481"/>
    <w:rsid w:val="00FE5CE1"/>
    <w:rsid w:val="00FE6B98"/>
    <w:rsid w:val="00FF2B66"/>
    <w:rsid w:val="00FF2DCB"/>
    <w:rsid w:val="00FF4DED"/>
    <w:rsid w:val="016C1BBD"/>
    <w:rsid w:val="01E72F95"/>
    <w:rsid w:val="024A7C85"/>
    <w:rsid w:val="028A530B"/>
    <w:rsid w:val="02E42DB9"/>
    <w:rsid w:val="030A15D4"/>
    <w:rsid w:val="033A76EA"/>
    <w:rsid w:val="034D3E92"/>
    <w:rsid w:val="035420DF"/>
    <w:rsid w:val="04403CF2"/>
    <w:rsid w:val="04F91C56"/>
    <w:rsid w:val="05B64EE1"/>
    <w:rsid w:val="06C64086"/>
    <w:rsid w:val="06E04BF9"/>
    <w:rsid w:val="06E11905"/>
    <w:rsid w:val="07494969"/>
    <w:rsid w:val="07B948D4"/>
    <w:rsid w:val="084C6415"/>
    <w:rsid w:val="09282662"/>
    <w:rsid w:val="09464567"/>
    <w:rsid w:val="09631EE2"/>
    <w:rsid w:val="09810C92"/>
    <w:rsid w:val="09DE5D58"/>
    <w:rsid w:val="09F77876"/>
    <w:rsid w:val="0AAC277E"/>
    <w:rsid w:val="0AB97813"/>
    <w:rsid w:val="0B050E8B"/>
    <w:rsid w:val="0B120E33"/>
    <w:rsid w:val="0B80772B"/>
    <w:rsid w:val="0C050DBA"/>
    <w:rsid w:val="0C2B490E"/>
    <w:rsid w:val="0C425B7B"/>
    <w:rsid w:val="0C7D3185"/>
    <w:rsid w:val="0CD80723"/>
    <w:rsid w:val="0CE5671B"/>
    <w:rsid w:val="0E30707F"/>
    <w:rsid w:val="0E9606C4"/>
    <w:rsid w:val="0F566DED"/>
    <w:rsid w:val="0F610E23"/>
    <w:rsid w:val="0F61196A"/>
    <w:rsid w:val="108C3D8A"/>
    <w:rsid w:val="10BC44B7"/>
    <w:rsid w:val="1102722C"/>
    <w:rsid w:val="1163382C"/>
    <w:rsid w:val="1202500A"/>
    <w:rsid w:val="12292AEE"/>
    <w:rsid w:val="124B5C44"/>
    <w:rsid w:val="12665599"/>
    <w:rsid w:val="12880971"/>
    <w:rsid w:val="12F861CF"/>
    <w:rsid w:val="139E2B95"/>
    <w:rsid w:val="13AE0E28"/>
    <w:rsid w:val="142470FE"/>
    <w:rsid w:val="16892A6D"/>
    <w:rsid w:val="16970417"/>
    <w:rsid w:val="16E14FFD"/>
    <w:rsid w:val="17806CD6"/>
    <w:rsid w:val="179D0372"/>
    <w:rsid w:val="17BB7C08"/>
    <w:rsid w:val="17CA481C"/>
    <w:rsid w:val="17DE3DBA"/>
    <w:rsid w:val="18024C29"/>
    <w:rsid w:val="186B56B7"/>
    <w:rsid w:val="19524AC9"/>
    <w:rsid w:val="195820DB"/>
    <w:rsid w:val="19DA1DDD"/>
    <w:rsid w:val="19DE0FEB"/>
    <w:rsid w:val="1A580034"/>
    <w:rsid w:val="1A6C1BBA"/>
    <w:rsid w:val="1AFD3D18"/>
    <w:rsid w:val="1B462832"/>
    <w:rsid w:val="1B924701"/>
    <w:rsid w:val="1BA601A6"/>
    <w:rsid w:val="1BC70DB8"/>
    <w:rsid w:val="1C086E30"/>
    <w:rsid w:val="1D9E2B0D"/>
    <w:rsid w:val="1E14758B"/>
    <w:rsid w:val="1E8E0351"/>
    <w:rsid w:val="1F2A0817"/>
    <w:rsid w:val="200E454A"/>
    <w:rsid w:val="202E3B9B"/>
    <w:rsid w:val="20BE2435"/>
    <w:rsid w:val="20BE5B5D"/>
    <w:rsid w:val="21960A84"/>
    <w:rsid w:val="2227424B"/>
    <w:rsid w:val="223B51C2"/>
    <w:rsid w:val="2248021F"/>
    <w:rsid w:val="22736341"/>
    <w:rsid w:val="227A6BEB"/>
    <w:rsid w:val="22F62969"/>
    <w:rsid w:val="23345CDC"/>
    <w:rsid w:val="23AD1279"/>
    <w:rsid w:val="23CB16FF"/>
    <w:rsid w:val="24B91EA0"/>
    <w:rsid w:val="25292F33"/>
    <w:rsid w:val="25467F9B"/>
    <w:rsid w:val="25EF4F17"/>
    <w:rsid w:val="25FA7B95"/>
    <w:rsid w:val="26D02A9F"/>
    <w:rsid w:val="27A40BE5"/>
    <w:rsid w:val="28062D95"/>
    <w:rsid w:val="282835C4"/>
    <w:rsid w:val="296A6C10"/>
    <w:rsid w:val="29E43D98"/>
    <w:rsid w:val="2B86075B"/>
    <w:rsid w:val="2C577A61"/>
    <w:rsid w:val="2C7547EA"/>
    <w:rsid w:val="2DD92C6B"/>
    <w:rsid w:val="2E2B1AA1"/>
    <w:rsid w:val="2E8A7285"/>
    <w:rsid w:val="2E8E2B07"/>
    <w:rsid w:val="2F0034B5"/>
    <w:rsid w:val="2F2E7876"/>
    <w:rsid w:val="2F6F1AD9"/>
    <w:rsid w:val="2F8665BD"/>
    <w:rsid w:val="30304FDA"/>
    <w:rsid w:val="30314FE0"/>
    <w:rsid w:val="307C4493"/>
    <w:rsid w:val="31271843"/>
    <w:rsid w:val="317E4255"/>
    <w:rsid w:val="31C26B20"/>
    <w:rsid w:val="32B617CD"/>
    <w:rsid w:val="330B24FC"/>
    <w:rsid w:val="337D2738"/>
    <w:rsid w:val="33C60F38"/>
    <w:rsid w:val="343B467F"/>
    <w:rsid w:val="34604F30"/>
    <w:rsid w:val="34A83043"/>
    <w:rsid w:val="3589541E"/>
    <w:rsid w:val="3599798D"/>
    <w:rsid w:val="35F133AF"/>
    <w:rsid w:val="360B18BD"/>
    <w:rsid w:val="3665193B"/>
    <w:rsid w:val="367B4B94"/>
    <w:rsid w:val="37864A95"/>
    <w:rsid w:val="37B22F91"/>
    <w:rsid w:val="386367D6"/>
    <w:rsid w:val="38713A82"/>
    <w:rsid w:val="38A36B44"/>
    <w:rsid w:val="38DD4A5A"/>
    <w:rsid w:val="398960EE"/>
    <w:rsid w:val="3AAC31C2"/>
    <w:rsid w:val="3AB95260"/>
    <w:rsid w:val="3B3F6C32"/>
    <w:rsid w:val="3B9B08FE"/>
    <w:rsid w:val="3BFC2BDD"/>
    <w:rsid w:val="3C713A81"/>
    <w:rsid w:val="3DF00289"/>
    <w:rsid w:val="3E127392"/>
    <w:rsid w:val="3E673275"/>
    <w:rsid w:val="3E9C246F"/>
    <w:rsid w:val="3E9E1A93"/>
    <w:rsid w:val="3EC04150"/>
    <w:rsid w:val="3FC23183"/>
    <w:rsid w:val="404C229E"/>
    <w:rsid w:val="40CD5F74"/>
    <w:rsid w:val="413E6DB3"/>
    <w:rsid w:val="41A03D74"/>
    <w:rsid w:val="42BC2E2F"/>
    <w:rsid w:val="42EF087B"/>
    <w:rsid w:val="43140575"/>
    <w:rsid w:val="43B068E4"/>
    <w:rsid w:val="43BD6E5F"/>
    <w:rsid w:val="43DB6D22"/>
    <w:rsid w:val="45974413"/>
    <w:rsid w:val="460B1E12"/>
    <w:rsid w:val="463B478F"/>
    <w:rsid w:val="46B66049"/>
    <w:rsid w:val="46DE7507"/>
    <w:rsid w:val="472F1E22"/>
    <w:rsid w:val="476D46F8"/>
    <w:rsid w:val="480B1169"/>
    <w:rsid w:val="48DF1625"/>
    <w:rsid w:val="49075BC3"/>
    <w:rsid w:val="4A525E27"/>
    <w:rsid w:val="4A8729E4"/>
    <w:rsid w:val="4A9E5462"/>
    <w:rsid w:val="4AD76445"/>
    <w:rsid w:val="4B2A64CB"/>
    <w:rsid w:val="4B9E1324"/>
    <w:rsid w:val="4BAB1B12"/>
    <w:rsid w:val="4C2D5E96"/>
    <w:rsid w:val="4C455C43"/>
    <w:rsid w:val="4CA52592"/>
    <w:rsid w:val="4CC97F07"/>
    <w:rsid w:val="4CF30A17"/>
    <w:rsid w:val="4D78480E"/>
    <w:rsid w:val="4DE432B9"/>
    <w:rsid w:val="4ED91C83"/>
    <w:rsid w:val="4F3D0DCF"/>
    <w:rsid w:val="4F7F3FDE"/>
    <w:rsid w:val="4FBB3801"/>
    <w:rsid w:val="506D39BB"/>
    <w:rsid w:val="50752FF8"/>
    <w:rsid w:val="508E3B88"/>
    <w:rsid w:val="50CA4969"/>
    <w:rsid w:val="510526F7"/>
    <w:rsid w:val="51451378"/>
    <w:rsid w:val="51484E7A"/>
    <w:rsid w:val="516C76EA"/>
    <w:rsid w:val="520C1FA6"/>
    <w:rsid w:val="53B35B89"/>
    <w:rsid w:val="53CA7B24"/>
    <w:rsid w:val="54111509"/>
    <w:rsid w:val="54B55930"/>
    <w:rsid w:val="550F5B85"/>
    <w:rsid w:val="554134BC"/>
    <w:rsid w:val="55A47A3D"/>
    <w:rsid w:val="55CF2BB7"/>
    <w:rsid w:val="56C723AA"/>
    <w:rsid w:val="56E30533"/>
    <w:rsid w:val="57315742"/>
    <w:rsid w:val="57C73C55"/>
    <w:rsid w:val="585D7173"/>
    <w:rsid w:val="587578B0"/>
    <w:rsid w:val="596C0C06"/>
    <w:rsid w:val="5AB26B9A"/>
    <w:rsid w:val="5B281FC6"/>
    <w:rsid w:val="5B37688F"/>
    <w:rsid w:val="5B3E3376"/>
    <w:rsid w:val="5B88435B"/>
    <w:rsid w:val="5BEA6BC7"/>
    <w:rsid w:val="5C125813"/>
    <w:rsid w:val="5CF36561"/>
    <w:rsid w:val="5E7A2BC6"/>
    <w:rsid w:val="5F322057"/>
    <w:rsid w:val="5F454703"/>
    <w:rsid w:val="5F915A58"/>
    <w:rsid w:val="5FBA6B9B"/>
    <w:rsid w:val="600D6620"/>
    <w:rsid w:val="60300D00"/>
    <w:rsid w:val="60316920"/>
    <w:rsid w:val="60465829"/>
    <w:rsid w:val="60BF080B"/>
    <w:rsid w:val="611C2139"/>
    <w:rsid w:val="617A1A94"/>
    <w:rsid w:val="61CB6D78"/>
    <w:rsid w:val="61D94C45"/>
    <w:rsid w:val="62436329"/>
    <w:rsid w:val="62AA5096"/>
    <w:rsid w:val="62F07F5F"/>
    <w:rsid w:val="647C09D5"/>
    <w:rsid w:val="64F727E0"/>
    <w:rsid w:val="65146561"/>
    <w:rsid w:val="65637B55"/>
    <w:rsid w:val="662E3DA5"/>
    <w:rsid w:val="664C0F4D"/>
    <w:rsid w:val="66F95B50"/>
    <w:rsid w:val="670A69D6"/>
    <w:rsid w:val="67446DCC"/>
    <w:rsid w:val="679948CB"/>
    <w:rsid w:val="67E7282C"/>
    <w:rsid w:val="689B20AE"/>
    <w:rsid w:val="68FE77A4"/>
    <w:rsid w:val="692B26D4"/>
    <w:rsid w:val="697F3411"/>
    <w:rsid w:val="69B90CC6"/>
    <w:rsid w:val="69FC7F61"/>
    <w:rsid w:val="6A040A94"/>
    <w:rsid w:val="6A0942FC"/>
    <w:rsid w:val="6B1C1E0E"/>
    <w:rsid w:val="6C376EFF"/>
    <w:rsid w:val="6C384A25"/>
    <w:rsid w:val="6C8005CE"/>
    <w:rsid w:val="6CC06600"/>
    <w:rsid w:val="6CC6569F"/>
    <w:rsid w:val="6CFD11A6"/>
    <w:rsid w:val="6D2D004B"/>
    <w:rsid w:val="6DFF58CE"/>
    <w:rsid w:val="6E5B2C4D"/>
    <w:rsid w:val="6E71270D"/>
    <w:rsid w:val="6EFB376F"/>
    <w:rsid w:val="6F1D27AA"/>
    <w:rsid w:val="6FD506AC"/>
    <w:rsid w:val="6FEF542B"/>
    <w:rsid w:val="6FFC7464"/>
    <w:rsid w:val="70140F7F"/>
    <w:rsid w:val="72590AD1"/>
    <w:rsid w:val="736E3526"/>
    <w:rsid w:val="73EF2AE0"/>
    <w:rsid w:val="73F1432E"/>
    <w:rsid w:val="743E1047"/>
    <w:rsid w:val="749D2B0C"/>
    <w:rsid w:val="752D5343"/>
    <w:rsid w:val="759D427E"/>
    <w:rsid w:val="760C77AF"/>
    <w:rsid w:val="771F74EB"/>
    <w:rsid w:val="77901BB9"/>
    <w:rsid w:val="78312B65"/>
    <w:rsid w:val="78345F49"/>
    <w:rsid w:val="785779DB"/>
    <w:rsid w:val="786C796F"/>
    <w:rsid w:val="78E42D46"/>
    <w:rsid w:val="78E80B33"/>
    <w:rsid w:val="797B1140"/>
    <w:rsid w:val="7A811419"/>
    <w:rsid w:val="7A8F6921"/>
    <w:rsid w:val="7AA54327"/>
    <w:rsid w:val="7AC54F1F"/>
    <w:rsid w:val="7B1434C1"/>
    <w:rsid w:val="7B673920"/>
    <w:rsid w:val="7B8C22F9"/>
    <w:rsid w:val="7D247650"/>
    <w:rsid w:val="7D495565"/>
    <w:rsid w:val="7E05265D"/>
    <w:rsid w:val="7E6D485D"/>
    <w:rsid w:val="7F7601C0"/>
    <w:rsid w:val="7FD65D1D"/>
    <w:rsid w:val="7FF072DA"/>
    <w:rsid w:val="7FF84DB2"/>
    <w:rsid w:val="FD5F7A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qFormat="1" w:uiPriority="0" w:name="annotation reference"/>
    <w:lsdException w:uiPriority="0" w:name="line number"/>
    <w:lsdException w:qFormat="1" w:unhideWhenUsed="0" w:uiPriority="99" w:semiHidden="0" w:name="page number"/>
    <w:lsdException w:uiPriority="0" w:name="endnote reference"/>
    <w:lsdException w:uiPriority="0" w:name="endnote text"/>
    <w:lsdException w:qFormat="1" w:unhideWhenUsed="0" w:uiPriority="0" w:name="table of authorities"/>
    <w:lsdException w:uiPriority="0" w:name="macro"/>
    <w:lsdException w:qFormat="1" w:unhideWhenUsed="0" w:uiPriority="0" w:name="toa heading"/>
    <w:lsdException w:uiPriority="0" w:name="List"/>
    <w:lsdException w:uiPriority="0" w:name="List Bullet"/>
    <w:lsdException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7">
    <w:name w:val="heading 1"/>
    <w:basedOn w:val="1"/>
    <w:next w:val="1"/>
    <w:qFormat/>
    <w:uiPriority w:val="0"/>
    <w:pPr>
      <w:keepNext/>
      <w:keepLines/>
      <w:spacing w:line="360" w:lineRule="auto"/>
      <w:jc w:val="center"/>
      <w:outlineLvl w:val="0"/>
    </w:pPr>
    <w:rPr>
      <w:b/>
      <w:bCs/>
      <w:kern w:val="44"/>
      <w:sz w:val="30"/>
      <w:szCs w:val="44"/>
    </w:rPr>
  </w:style>
  <w:style w:type="paragraph" w:styleId="8">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9">
    <w:name w:val="heading 3"/>
    <w:basedOn w:val="1"/>
    <w:next w:val="1"/>
    <w:qFormat/>
    <w:uiPriority w:val="0"/>
    <w:pPr>
      <w:keepNext/>
      <w:keepLines/>
      <w:spacing w:line="360" w:lineRule="auto"/>
      <w:jc w:val="center"/>
      <w:outlineLvl w:val="2"/>
    </w:pPr>
    <w:rPr>
      <w:rFonts w:ascii="宋体"/>
      <w:b/>
      <w:bCs/>
      <w:sz w:val="32"/>
      <w:szCs w:val="32"/>
    </w:rPr>
  </w:style>
  <w:style w:type="paragraph" w:styleId="10">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11">
    <w:name w:val="heading 5"/>
    <w:basedOn w:val="1"/>
    <w:next w:val="1"/>
    <w:qFormat/>
    <w:uiPriority w:val="0"/>
    <w:pPr>
      <w:keepNext/>
      <w:outlineLvl w:val="4"/>
    </w:pPr>
    <w:rPr>
      <w:rFonts w:ascii="宋体" w:hAnsi="Arial"/>
      <w:bCs/>
      <w:sz w:val="28"/>
    </w:rPr>
  </w:style>
  <w:style w:type="paragraph" w:styleId="12">
    <w:name w:val="heading 6"/>
    <w:basedOn w:val="1"/>
    <w:next w:val="1"/>
    <w:qFormat/>
    <w:uiPriority w:val="0"/>
    <w:pPr>
      <w:keepNext/>
      <w:autoSpaceDE w:val="0"/>
      <w:autoSpaceDN w:val="0"/>
      <w:adjustRightInd w:val="0"/>
      <w:spacing w:beforeLines="50" w:afterLines="50" w:line="300" w:lineRule="exact"/>
      <w:jc w:val="center"/>
      <w:outlineLvl w:val="5"/>
    </w:pPr>
    <w:rPr>
      <w:rFonts w:ascii="宋体" w:hAnsi="宋体"/>
      <w:kern w:val="0"/>
      <w:sz w:val="28"/>
    </w:rPr>
  </w:style>
  <w:style w:type="paragraph" w:styleId="13">
    <w:name w:val="heading 7"/>
    <w:basedOn w:val="1"/>
    <w:next w:val="1"/>
    <w:qFormat/>
    <w:uiPriority w:val="0"/>
    <w:pPr>
      <w:keepNext/>
      <w:keepLines/>
      <w:spacing w:before="240" w:after="64" w:line="320" w:lineRule="auto"/>
      <w:ind w:right="-24" w:rightChars="-10" w:firstLine="464" w:firstLineChars="225"/>
      <w:jc w:val="left"/>
      <w:outlineLvl w:val="6"/>
    </w:pPr>
    <w:rPr>
      <w:rFonts w:ascii="Arial" w:hAnsi="Arial" w:eastAsia="仿宋_GB2312" w:cs="Arial"/>
      <w:b/>
      <w:bCs/>
      <w:spacing w:val="-4"/>
      <w:sz w:val="24"/>
      <w:szCs w:val="24"/>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99"/>
    <w:pPr>
      <w:ind w:left="420" w:leftChars="200" w:firstLine="420"/>
    </w:pPr>
    <w:rPr>
      <w:rFonts w:eastAsia="宋?"/>
      <w:sz w:val="21"/>
    </w:rPr>
  </w:style>
  <w:style w:type="paragraph" w:styleId="3">
    <w:name w:val="Body Text Indent"/>
    <w:basedOn w:val="1"/>
    <w:next w:val="4"/>
    <w:qFormat/>
    <w:uiPriority w:val="0"/>
    <w:pPr>
      <w:ind w:firstLine="645"/>
    </w:pPr>
    <w:rPr>
      <w:rFonts w:ascii="楷体_GB2312" w:eastAsia="楷体_GB2312"/>
      <w:sz w:val="32"/>
    </w:rPr>
  </w:style>
  <w:style w:type="paragraph" w:styleId="4">
    <w:name w:val="envelope return"/>
    <w:basedOn w:val="1"/>
    <w:next w:val="3"/>
    <w:unhideWhenUsed/>
    <w:qFormat/>
    <w:uiPriority w:val="99"/>
    <w:pPr>
      <w:snapToGrid w:val="0"/>
    </w:pPr>
    <w:rPr>
      <w:rFonts w:hint="eastAsia" w:ascii="Arial" w:hAnsi="Arial"/>
    </w:rPr>
  </w:style>
  <w:style w:type="paragraph" w:styleId="5">
    <w:name w:val="Body Text First Indent"/>
    <w:basedOn w:val="6"/>
    <w:qFormat/>
    <w:uiPriority w:val="0"/>
    <w:pPr>
      <w:autoSpaceDE w:val="0"/>
      <w:autoSpaceDN w:val="0"/>
      <w:adjustRightInd w:val="0"/>
      <w:spacing w:line="360" w:lineRule="auto"/>
      <w:ind w:right="-24" w:rightChars="-10" w:firstLine="425" w:firstLineChars="225"/>
    </w:pPr>
    <w:rPr>
      <w:rFonts w:ascii="Arial" w:eastAsia="仿宋_GB2312" w:cs="Arial"/>
      <w:kern w:val="0"/>
      <w:sz w:val="24"/>
      <w:szCs w:val="32"/>
    </w:rPr>
  </w:style>
  <w:style w:type="paragraph" w:styleId="6">
    <w:name w:val="Body Text"/>
    <w:basedOn w:val="1"/>
    <w:next w:val="1"/>
    <w:qFormat/>
    <w:uiPriority w:val="0"/>
    <w:rPr>
      <w:rFonts w:ascii="宋体" w:hAnsi="Arial"/>
      <w:sz w:val="28"/>
    </w:rPr>
  </w:style>
  <w:style w:type="paragraph" w:styleId="14">
    <w:name w:val="toc 7"/>
    <w:basedOn w:val="1"/>
    <w:next w:val="1"/>
    <w:semiHidden/>
    <w:qFormat/>
    <w:uiPriority w:val="0"/>
    <w:pPr>
      <w:ind w:left="1260"/>
      <w:jc w:val="left"/>
    </w:pPr>
    <w:rPr>
      <w:szCs w:val="21"/>
    </w:rPr>
  </w:style>
  <w:style w:type="paragraph" w:styleId="15">
    <w:name w:val="table of authorities"/>
    <w:basedOn w:val="1"/>
    <w:next w:val="1"/>
    <w:semiHidden/>
    <w:qFormat/>
    <w:uiPriority w:val="0"/>
    <w:pPr>
      <w:ind w:left="420" w:leftChars="200"/>
    </w:pPr>
  </w:style>
  <w:style w:type="paragraph" w:styleId="16">
    <w:name w:val="index 8"/>
    <w:basedOn w:val="1"/>
    <w:next w:val="1"/>
    <w:semiHidden/>
    <w:qFormat/>
    <w:uiPriority w:val="0"/>
    <w:pPr>
      <w:ind w:left="1400" w:leftChars="1400"/>
    </w:pPr>
  </w:style>
  <w:style w:type="paragraph" w:styleId="17">
    <w:name w:val="Normal Indent"/>
    <w:basedOn w:val="1"/>
    <w:qFormat/>
    <w:uiPriority w:val="0"/>
    <w:pPr>
      <w:adjustRightInd w:val="0"/>
      <w:spacing w:line="312" w:lineRule="atLeast"/>
      <w:ind w:firstLine="420"/>
      <w:textAlignment w:val="baseline"/>
    </w:pPr>
    <w:rPr>
      <w:rFonts w:ascii="Times New Roman" w:hAnsi="Times New Roman"/>
      <w:kern w:val="0"/>
      <w:szCs w:val="20"/>
    </w:rPr>
  </w:style>
  <w:style w:type="paragraph" w:styleId="18">
    <w:name w:val="index 5"/>
    <w:basedOn w:val="1"/>
    <w:next w:val="1"/>
    <w:semiHidden/>
    <w:qFormat/>
    <w:uiPriority w:val="0"/>
    <w:pPr>
      <w:ind w:left="800" w:leftChars="800"/>
    </w:pPr>
  </w:style>
  <w:style w:type="paragraph" w:styleId="19">
    <w:name w:val="Document Map"/>
    <w:basedOn w:val="1"/>
    <w:semiHidden/>
    <w:qFormat/>
    <w:uiPriority w:val="0"/>
    <w:pPr>
      <w:shd w:val="clear" w:color="auto" w:fill="000080"/>
    </w:pPr>
  </w:style>
  <w:style w:type="paragraph" w:styleId="20">
    <w:name w:val="toa heading"/>
    <w:basedOn w:val="1"/>
    <w:next w:val="1"/>
    <w:semiHidden/>
    <w:qFormat/>
    <w:uiPriority w:val="0"/>
    <w:pPr>
      <w:spacing w:before="120"/>
    </w:pPr>
    <w:rPr>
      <w:rFonts w:ascii="Arial" w:hAnsi="Arial"/>
      <w:b/>
      <w:bCs/>
      <w:szCs w:val="24"/>
    </w:rPr>
  </w:style>
  <w:style w:type="paragraph" w:styleId="21">
    <w:name w:val="annotation text"/>
    <w:basedOn w:val="1"/>
    <w:link w:val="107"/>
    <w:qFormat/>
    <w:uiPriority w:val="99"/>
    <w:pPr>
      <w:jc w:val="left"/>
    </w:pPr>
  </w:style>
  <w:style w:type="paragraph" w:styleId="22">
    <w:name w:val="index 6"/>
    <w:basedOn w:val="1"/>
    <w:next w:val="1"/>
    <w:semiHidden/>
    <w:qFormat/>
    <w:uiPriority w:val="0"/>
    <w:pPr>
      <w:ind w:left="1000" w:leftChars="1000"/>
    </w:pPr>
  </w:style>
  <w:style w:type="paragraph" w:styleId="23">
    <w:name w:val="Body Text 3"/>
    <w:basedOn w:val="1"/>
    <w:qFormat/>
    <w:uiPriority w:val="0"/>
    <w:rPr>
      <w:rFonts w:ascii="黑体" w:hAnsi="Arial" w:eastAsia="黑体"/>
      <w:b/>
      <w:sz w:val="28"/>
    </w:rPr>
  </w:style>
  <w:style w:type="paragraph" w:styleId="24">
    <w:name w:val="List 2"/>
    <w:basedOn w:val="1"/>
    <w:qFormat/>
    <w:uiPriority w:val="0"/>
    <w:pPr>
      <w:ind w:left="100" w:leftChars="200" w:hanging="200" w:hangingChars="200"/>
    </w:pPr>
    <w:rPr>
      <w:rFonts w:ascii="Times New Roman" w:hAnsi="Times New Roman"/>
      <w:szCs w:val="24"/>
    </w:rPr>
  </w:style>
  <w:style w:type="paragraph" w:styleId="25">
    <w:name w:val="index 4"/>
    <w:basedOn w:val="1"/>
    <w:next w:val="1"/>
    <w:semiHidden/>
    <w:qFormat/>
    <w:uiPriority w:val="0"/>
    <w:pPr>
      <w:ind w:left="600" w:leftChars="600"/>
    </w:pPr>
  </w:style>
  <w:style w:type="paragraph" w:styleId="26">
    <w:name w:val="toc 5"/>
    <w:basedOn w:val="1"/>
    <w:next w:val="1"/>
    <w:semiHidden/>
    <w:qFormat/>
    <w:uiPriority w:val="0"/>
    <w:pPr>
      <w:ind w:left="840"/>
      <w:jc w:val="left"/>
    </w:pPr>
    <w:rPr>
      <w:szCs w:val="21"/>
    </w:rPr>
  </w:style>
  <w:style w:type="paragraph" w:styleId="27">
    <w:name w:val="toc 3"/>
    <w:basedOn w:val="1"/>
    <w:next w:val="1"/>
    <w:qFormat/>
    <w:uiPriority w:val="39"/>
    <w:pPr>
      <w:ind w:left="420"/>
      <w:jc w:val="left"/>
    </w:pPr>
    <w:rPr>
      <w:i/>
      <w:iCs/>
      <w:szCs w:val="24"/>
    </w:rPr>
  </w:style>
  <w:style w:type="paragraph" w:styleId="28">
    <w:name w:val="Plain Text"/>
    <w:basedOn w:val="1"/>
    <w:qFormat/>
    <w:uiPriority w:val="0"/>
    <w:rPr>
      <w:rFonts w:ascii="宋体" w:hAnsi="Courier New"/>
    </w:rPr>
  </w:style>
  <w:style w:type="paragraph" w:styleId="29">
    <w:name w:val="toc 8"/>
    <w:basedOn w:val="1"/>
    <w:next w:val="1"/>
    <w:semiHidden/>
    <w:qFormat/>
    <w:uiPriority w:val="0"/>
    <w:pPr>
      <w:ind w:left="1470"/>
      <w:jc w:val="left"/>
    </w:pPr>
    <w:rPr>
      <w:szCs w:val="21"/>
    </w:rPr>
  </w:style>
  <w:style w:type="paragraph" w:styleId="30">
    <w:name w:val="index 3"/>
    <w:basedOn w:val="1"/>
    <w:next w:val="1"/>
    <w:semiHidden/>
    <w:qFormat/>
    <w:uiPriority w:val="0"/>
    <w:pPr>
      <w:ind w:left="400" w:leftChars="400"/>
    </w:pPr>
  </w:style>
  <w:style w:type="paragraph" w:styleId="31">
    <w:name w:val="Date"/>
    <w:basedOn w:val="1"/>
    <w:next w:val="1"/>
    <w:link w:val="75"/>
    <w:qFormat/>
    <w:uiPriority w:val="99"/>
    <w:rPr>
      <w:b/>
      <w:sz w:val="28"/>
    </w:rPr>
  </w:style>
  <w:style w:type="paragraph" w:styleId="32">
    <w:name w:val="Body Text Indent 2"/>
    <w:basedOn w:val="1"/>
    <w:qFormat/>
    <w:uiPriority w:val="0"/>
    <w:pPr>
      <w:ind w:left="630" w:firstLine="645"/>
    </w:pPr>
    <w:rPr>
      <w:rFonts w:ascii="Arial" w:hAnsi="Arial" w:eastAsia="仿宋_GB2312"/>
      <w:sz w:val="32"/>
    </w:rPr>
  </w:style>
  <w:style w:type="paragraph" w:styleId="33">
    <w:name w:val="Balloon Text"/>
    <w:basedOn w:val="1"/>
    <w:semiHidden/>
    <w:qFormat/>
    <w:uiPriority w:val="0"/>
    <w:rPr>
      <w:sz w:val="18"/>
      <w:szCs w:val="18"/>
    </w:rPr>
  </w:style>
  <w:style w:type="paragraph" w:styleId="34">
    <w:name w:val="footer"/>
    <w:basedOn w:val="1"/>
    <w:link w:val="76"/>
    <w:qFormat/>
    <w:uiPriority w:val="0"/>
    <w:pPr>
      <w:tabs>
        <w:tab w:val="center" w:pos="4153"/>
        <w:tab w:val="right" w:pos="8306"/>
      </w:tabs>
      <w:snapToGrid w:val="0"/>
      <w:jc w:val="left"/>
    </w:pPr>
    <w:rPr>
      <w:sz w:val="18"/>
    </w:rPr>
  </w:style>
  <w:style w:type="paragraph" w:styleId="35">
    <w:name w:val="header"/>
    <w:basedOn w:val="1"/>
    <w:next w:val="1"/>
    <w:link w:val="74"/>
    <w:qFormat/>
    <w:uiPriority w:val="0"/>
    <w:pPr>
      <w:pBdr>
        <w:bottom w:val="single" w:color="auto" w:sz="6" w:space="1"/>
      </w:pBdr>
      <w:tabs>
        <w:tab w:val="center" w:pos="4153"/>
        <w:tab w:val="right" w:pos="8306"/>
      </w:tabs>
      <w:snapToGrid w:val="0"/>
      <w:jc w:val="center"/>
    </w:pPr>
    <w:rPr>
      <w:sz w:val="18"/>
    </w:rPr>
  </w:style>
  <w:style w:type="paragraph" w:styleId="36">
    <w:name w:val="toc 1"/>
    <w:basedOn w:val="1"/>
    <w:next w:val="1"/>
    <w:qFormat/>
    <w:uiPriority w:val="39"/>
    <w:pPr>
      <w:tabs>
        <w:tab w:val="right" w:leader="dot" w:pos="9403"/>
      </w:tabs>
      <w:spacing w:before="120" w:after="120"/>
      <w:jc w:val="left"/>
    </w:pPr>
    <w:rPr>
      <w:rFonts w:ascii="宋体"/>
      <w:caps/>
      <w:sz w:val="28"/>
      <w:szCs w:val="28"/>
    </w:rPr>
  </w:style>
  <w:style w:type="paragraph" w:styleId="37">
    <w:name w:val="toc 4"/>
    <w:basedOn w:val="1"/>
    <w:next w:val="1"/>
    <w:semiHidden/>
    <w:qFormat/>
    <w:uiPriority w:val="0"/>
    <w:pPr>
      <w:ind w:left="630"/>
      <w:jc w:val="left"/>
    </w:pPr>
    <w:rPr>
      <w:szCs w:val="21"/>
    </w:rPr>
  </w:style>
  <w:style w:type="paragraph" w:styleId="38">
    <w:name w:val="index heading"/>
    <w:basedOn w:val="1"/>
    <w:next w:val="39"/>
    <w:semiHidden/>
    <w:qFormat/>
    <w:uiPriority w:val="0"/>
  </w:style>
  <w:style w:type="paragraph" w:styleId="39">
    <w:name w:val="index 1"/>
    <w:basedOn w:val="1"/>
    <w:next w:val="1"/>
    <w:semiHidden/>
    <w:qFormat/>
    <w:uiPriority w:val="0"/>
    <w:pPr>
      <w:jc w:val="center"/>
    </w:pPr>
    <w:rPr>
      <w:rFonts w:ascii="仿宋_GB2312" w:eastAsia="仿宋_GB2312"/>
      <w:b/>
      <w:bCs/>
      <w:sz w:val="28"/>
    </w:rPr>
  </w:style>
  <w:style w:type="paragraph" w:styleId="40">
    <w:name w:val="Subtitle"/>
    <w:basedOn w:val="1"/>
    <w:next w:val="1"/>
    <w:qFormat/>
    <w:uiPriority w:val="0"/>
    <w:pPr>
      <w:spacing w:before="240" w:after="60" w:line="312" w:lineRule="auto"/>
      <w:jc w:val="center"/>
      <w:outlineLvl w:val="1"/>
    </w:pPr>
    <w:rPr>
      <w:rFonts w:ascii="Calibri Light" w:hAnsi="Calibri Light"/>
      <w:b/>
      <w:bCs/>
      <w:kern w:val="28"/>
      <w:sz w:val="32"/>
      <w:szCs w:val="32"/>
    </w:rPr>
  </w:style>
  <w:style w:type="paragraph" w:styleId="41">
    <w:name w:val="toc 6"/>
    <w:basedOn w:val="1"/>
    <w:next w:val="1"/>
    <w:semiHidden/>
    <w:qFormat/>
    <w:uiPriority w:val="0"/>
    <w:pPr>
      <w:ind w:left="1050"/>
      <w:jc w:val="left"/>
    </w:pPr>
    <w:rPr>
      <w:szCs w:val="21"/>
    </w:rPr>
  </w:style>
  <w:style w:type="paragraph" w:styleId="42">
    <w:name w:val="Body Text Indent 3"/>
    <w:basedOn w:val="1"/>
    <w:qFormat/>
    <w:uiPriority w:val="0"/>
    <w:pPr>
      <w:ind w:firstLine="645"/>
    </w:pPr>
    <w:rPr>
      <w:rFonts w:ascii="仿宋_GB2312" w:hAnsi="Arial" w:eastAsia="仿宋_GB2312"/>
      <w:color w:val="000000"/>
      <w:sz w:val="30"/>
    </w:rPr>
  </w:style>
  <w:style w:type="paragraph" w:styleId="43">
    <w:name w:val="index 7"/>
    <w:basedOn w:val="1"/>
    <w:next w:val="1"/>
    <w:semiHidden/>
    <w:qFormat/>
    <w:uiPriority w:val="0"/>
    <w:pPr>
      <w:ind w:left="1200" w:leftChars="1200"/>
    </w:pPr>
  </w:style>
  <w:style w:type="paragraph" w:styleId="44">
    <w:name w:val="index 9"/>
    <w:basedOn w:val="1"/>
    <w:next w:val="1"/>
    <w:semiHidden/>
    <w:qFormat/>
    <w:uiPriority w:val="0"/>
    <w:pPr>
      <w:ind w:left="1600" w:leftChars="1600"/>
    </w:pPr>
  </w:style>
  <w:style w:type="paragraph" w:styleId="45">
    <w:name w:val="toc 2"/>
    <w:basedOn w:val="1"/>
    <w:next w:val="1"/>
    <w:qFormat/>
    <w:uiPriority w:val="39"/>
    <w:pPr>
      <w:ind w:left="210"/>
      <w:jc w:val="left"/>
    </w:pPr>
    <w:rPr>
      <w:smallCaps/>
      <w:sz w:val="28"/>
      <w:szCs w:val="24"/>
    </w:rPr>
  </w:style>
  <w:style w:type="paragraph" w:styleId="46">
    <w:name w:val="toc 9"/>
    <w:basedOn w:val="1"/>
    <w:next w:val="1"/>
    <w:semiHidden/>
    <w:qFormat/>
    <w:uiPriority w:val="0"/>
    <w:pPr>
      <w:ind w:left="1680"/>
      <w:jc w:val="left"/>
    </w:pPr>
    <w:rPr>
      <w:szCs w:val="21"/>
    </w:rPr>
  </w:style>
  <w:style w:type="paragraph" w:styleId="47">
    <w:name w:val="Body Text 2"/>
    <w:basedOn w:val="1"/>
    <w:qFormat/>
    <w:uiPriority w:val="0"/>
    <w:rPr>
      <w:rFonts w:ascii="仿宋_GB2312" w:eastAsia="仿宋_GB2312"/>
      <w:b/>
      <w:sz w:val="24"/>
    </w:rPr>
  </w:style>
  <w:style w:type="paragraph" w:styleId="48">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49">
    <w:name w:val="index 2"/>
    <w:basedOn w:val="1"/>
    <w:next w:val="1"/>
    <w:semiHidden/>
    <w:qFormat/>
    <w:uiPriority w:val="0"/>
    <w:pPr>
      <w:ind w:left="200" w:leftChars="200"/>
    </w:pPr>
  </w:style>
  <w:style w:type="paragraph" w:styleId="50">
    <w:name w:val="annotation subject"/>
    <w:basedOn w:val="21"/>
    <w:next w:val="21"/>
    <w:link w:val="108"/>
    <w:semiHidden/>
    <w:unhideWhenUsed/>
    <w:qFormat/>
    <w:uiPriority w:val="0"/>
    <w:rPr>
      <w:b/>
      <w:bCs/>
    </w:rPr>
  </w:style>
  <w:style w:type="table" w:styleId="52">
    <w:name w:val="Table Grid"/>
    <w:basedOn w:val="5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basedOn w:val="53"/>
    <w:qFormat/>
    <w:uiPriority w:val="0"/>
    <w:rPr>
      <w:b/>
      <w:bCs/>
    </w:rPr>
  </w:style>
  <w:style w:type="character" w:styleId="55">
    <w:name w:val="page number"/>
    <w:basedOn w:val="53"/>
    <w:qFormat/>
    <w:uiPriority w:val="99"/>
  </w:style>
  <w:style w:type="character" w:styleId="56">
    <w:name w:val="FollowedHyperlink"/>
    <w:basedOn w:val="53"/>
    <w:qFormat/>
    <w:uiPriority w:val="0"/>
    <w:rPr>
      <w:color w:val="333333"/>
      <w:u w:val="none"/>
    </w:rPr>
  </w:style>
  <w:style w:type="character" w:styleId="57">
    <w:name w:val="Emphasis"/>
    <w:qFormat/>
    <w:uiPriority w:val="0"/>
    <w:rPr>
      <w:color w:val="CC0033"/>
    </w:rPr>
  </w:style>
  <w:style w:type="character" w:styleId="58">
    <w:name w:val="HTML Definition"/>
    <w:basedOn w:val="53"/>
    <w:semiHidden/>
    <w:unhideWhenUsed/>
    <w:qFormat/>
    <w:uiPriority w:val="0"/>
  </w:style>
  <w:style w:type="character" w:styleId="59">
    <w:name w:val="HTML Typewriter"/>
    <w:basedOn w:val="53"/>
    <w:semiHidden/>
    <w:unhideWhenUsed/>
    <w:qFormat/>
    <w:uiPriority w:val="0"/>
    <w:rPr>
      <w:rFonts w:ascii="monospace" w:hAnsi="monospace" w:eastAsia="monospace" w:cs="monospace"/>
      <w:sz w:val="20"/>
    </w:rPr>
  </w:style>
  <w:style w:type="character" w:styleId="60">
    <w:name w:val="HTML Acronym"/>
    <w:basedOn w:val="53"/>
    <w:semiHidden/>
    <w:unhideWhenUsed/>
    <w:qFormat/>
    <w:uiPriority w:val="0"/>
  </w:style>
  <w:style w:type="character" w:styleId="61">
    <w:name w:val="HTML Variable"/>
    <w:basedOn w:val="53"/>
    <w:semiHidden/>
    <w:unhideWhenUsed/>
    <w:qFormat/>
    <w:uiPriority w:val="0"/>
  </w:style>
  <w:style w:type="character" w:styleId="62">
    <w:name w:val="Hyperlink"/>
    <w:basedOn w:val="53"/>
    <w:qFormat/>
    <w:uiPriority w:val="99"/>
    <w:rPr>
      <w:color w:val="333333"/>
      <w:u w:val="none"/>
    </w:rPr>
  </w:style>
  <w:style w:type="character" w:styleId="63">
    <w:name w:val="HTML Code"/>
    <w:basedOn w:val="53"/>
    <w:semiHidden/>
    <w:unhideWhenUsed/>
    <w:qFormat/>
    <w:uiPriority w:val="0"/>
    <w:rPr>
      <w:rFonts w:hint="default" w:ascii="monospace" w:hAnsi="monospace" w:eastAsia="monospace" w:cs="monospace"/>
      <w:sz w:val="20"/>
    </w:rPr>
  </w:style>
  <w:style w:type="character" w:styleId="64">
    <w:name w:val="annotation reference"/>
    <w:basedOn w:val="53"/>
    <w:semiHidden/>
    <w:unhideWhenUsed/>
    <w:qFormat/>
    <w:uiPriority w:val="0"/>
    <w:rPr>
      <w:sz w:val="21"/>
      <w:szCs w:val="21"/>
    </w:rPr>
  </w:style>
  <w:style w:type="character" w:styleId="65">
    <w:name w:val="HTML Cite"/>
    <w:basedOn w:val="53"/>
    <w:semiHidden/>
    <w:unhideWhenUsed/>
    <w:qFormat/>
    <w:uiPriority w:val="0"/>
  </w:style>
  <w:style w:type="character" w:styleId="66">
    <w:name w:val="HTML Keyboard"/>
    <w:basedOn w:val="53"/>
    <w:semiHidden/>
    <w:unhideWhenUsed/>
    <w:qFormat/>
    <w:uiPriority w:val="0"/>
    <w:rPr>
      <w:rFonts w:hint="default" w:ascii="monospace" w:hAnsi="monospace" w:eastAsia="monospace" w:cs="monospace"/>
      <w:sz w:val="20"/>
    </w:rPr>
  </w:style>
  <w:style w:type="character" w:styleId="67">
    <w:name w:val="HTML Sample"/>
    <w:basedOn w:val="53"/>
    <w:semiHidden/>
    <w:unhideWhenUsed/>
    <w:qFormat/>
    <w:uiPriority w:val="0"/>
    <w:rPr>
      <w:rFonts w:hint="default" w:ascii="monospace" w:hAnsi="monospace" w:eastAsia="monospace" w:cs="monospace"/>
    </w:rPr>
  </w:style>
  <w:style w:type="paragraph" w:customStyle="1" w:styleId="68">
    <w:name w:val="表格文字"/>
    <w:basedOn w:val="1"/>
    <w:next w:val="6"/>
    <w:qFormat/>
    <w:uiPriority w:val="0"/>
    <w:pPr>
      <w:spacing w:line="360" w:lineRule="auto"/>
    </w:pPr>
    <w:rPr>
      <w:bCs/>
      <w:spacing w:val="10"/>
      <w:szCs w:val="20"/>
    </w:rPr>
  </w:style>
  <w:style w:type="character" w:customStyle="1" w:styleId="69">
    <w:name w:val="正文文本缩进 2 Char"/>
    <w:link w:val="70"/>
    <w:qFormat/>
    <w:uiPriority w:val="0"/>
    <w:rPr>
      <w:rFonts w:ascii="Arial" w:hAnsi="Arial" w:eastAsia="仿宋_GB2312" w:cs="Times New Roman"/>
      <w:sz w:val="32"/>
      <w:szCs w:val="20"/>
    </w:rPr>
  </w:style>
  <w:style w:type="paragraph" w:customStyle="1" w:styleId="70">
    <w:name w:val="正文文本缩进 2_0"/>
    <w:basedOn w:val="71"/>
    <w:link w:val="69"/>
    <w:qFormat/>
    <w:uiPriority w:val="0"/>
    <w:pPr>
      <w:ind w:left="630" w:firstLine="645"/>
    </w:pPr>
    <w:rPr>
      <w:rFonts w:ascii="Arial" w:hAnsi="Arial" w:eastAsia="仿宋_GB2312"/>
      <w:kern w:val="0"/>
      <w:sz w:val="32"/>
    </w:rPr>
  </w:style>
  <w:style w:type="paragraph" w:customStyle="1" w:styleId="71">
    <w:name w:val="正文_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72">
    <w:name w:val="正文文本缩进 Char"/>
    <w:link w:val="73"/>
    <w:qFormat/>
    <w:uiPriority w:val="0"/>
    <w:rPr>
      <w:rFonts w:ascii="楷体_GB2312" w:hAnsi="Times New Roman" w:eastAsia="楷体_GB2312" w:cs="Times New Roman"/>
      <w:sz w:val="32"/>
      <w:szCs w:val="20"/>
    </w:rPr>
  </w:style>
  <w:style w:type="paragraph" w:customStyle="1" w:styleId="73">
    <w:name w:val="正文文本缩进_0"/>
    <w:basedOn w:val="71"/>
    <w:link w:val="72"/>
    <w:qFormat/>
    <w:uiPriority w:val="0"/>
    <w:pPr>
      <w:ind w:firstLine="645"/>
    </w:pPr>
    <w:rPr>
      <w:rFonts w:ascii="楷体_GB2312" w:eastAsia="楷体_GB2312"/>
      <w:kern w:val="0"/>
      <w:sz w:val="32"/>
    </w:rPr>
  </w:style>
  <w:style w:type="character" w:customStyle="1" w:styleId="74">
    <w:name w:val="页眉 Char"/>
    <w:link w:val="35"/>
    <w:qFormat/>
    <w:uiPriority w:val="0"/>
    <w:rPr>
      <w:rFonts w:ascii="Calibri" w:hAnsi="Calibri" w:eastAsia="宋体" w:cs="Times New Roman"/>
      <w:kern w:val="2"/>
      <w:sz w:val="18"/>
      <w:szCs w:val="22"/>
    </w:rPr>
  </w:style>
  <w:style w:type="character" w:customStyle="1" w:styleId="75">
    <w:name w:val="日期 Char"/>
    <w:link w:val="31"/>
    <w:qFormat/>
    <w:uiPriority w:val="99"/>
    <w:rPr>
      <w:rFonts w:ascii="Calibri" w:hAnsi="Calibri"/>
      <w:b/>
      <w:kern w:val="2"/>
      <w:sz w:val="28"/>
      <w:szCs w:val="22"/>
    </w:rPr>
  </w:style>
  <w:style w:type="character" w:customStyle="1" w:styleId="76">
    <w:name w:val="页脚 Char"/>
    <w:link w:val="34"/>
    <w:qFormat/>
    <w:uiPriority w:val="0"/>
    <w:rPr>
      <w:rFonts w:ascii="Calibri" w:hAnsi="Calibri"/>
      <w:kern w:val="2"/>
      <w:sz w:val="18"/>
      <w:szCs w:val="22"/>
    </w:rPr>
  </w:style>
  <w:style w:type="paragraph" w:customStyle="1" w:styleId="77">
    <w:name w:val="正文首行缩进两字符"/>
    <w:basedOn w:val="1"/>
    <w:qFormat/>
    <w:uiPriority w:val="0"/>
    <w:pPr>
      <w:spacing w:line="360" w:lineRule="auto"/>
      <w:ind w:firstLine="200" w:firstLineChars="200"/>
    </w:pPr>
    <w:rPr>
      <w:rFonts w:ascii="宋体" w:hAnsi="Times New Roman"/>
      <w:kern w:val="0"/>
      <w:sz w:val="34"/>
      <w:szCs w:val="20"/>
    </w:rPr>
  </w:style>
  <w:style w:type="paragraph" w:customStyle="1" w:styleId="78">
    <w:name w:val="基本文字 Char"/>
    <w:basedOn w:val="1"/>
    <w:qFormat/>
    <w:uiPriority w:val="0"/>
    <w:pPr>
      <w:spacing w:before="156" w:line="400" w:lineRule="atLeast"/>
      <w:ind w:firstLine="540" w:firstLineChars="225"/>
    </w:pPr>
    <w:rPr>
      <w:sz w:val="24"/>
    </w:rPr>
  </w:style>
  <w:style w:type="paragraph" w:customStyle="1" w:styleId="79">
    <w:name w:val="Char Char Char Char Char Char Char1 Char"/>
    <w:basedOn w:val="1"/>
    <w:qFormat/>
    <w:uiPriority w:val="0"/>
    <w:rPr>
      <w:rFonts w:ascii="Tahoma" w:hAnsi="Tahoma"/>
      <w:sz w:val="24"/>
    </w:rPr>
  </w:style>
  <w:style w:type="paragraph" w:customStyle="1" w:styleId="80">
    <w:name w:val="MsoNormal"/>
    <w:basedOn w:val="81"/>
    <w:qFormat/>
    <w:uiPriority w:val="0"/>
    <w:rPr>
      <w:rFonts w:ascii="Calibri" w:hAnsi="Calibri" w:eastAsia="Calibri"/>
      <w:sz w:val="21"/>
    </w:rPr>
  </w:style>
  <w:style w:type="paragraph" w:customStyle="1" w:styleId="81">
    <w:name w:val="正文1"/>
    <w:qFormat/>
    <w:uiPriority w:val="0"/>
    <w:rPr>
      <w:rFonts w:ascii="Times New Roman" w:hAnsi="Times New Roman" w:eastAsia="宋体" w:cs="Times New Roman"/>
      <w:sz w:val="24"/>
      <w:szCs w:val="24"/>
      <w:lang w:val="en-US" w:eastAsia="zh-CN" w:bidi="ar-SA"/>
    </w:rPr>
  </w:style>
  <w:style w:type="paragraph" w:customStyle="1" w:styleId="82">
    <w:name w:val="国内正文"/>
    <w:basedOn w:val="1"/>
    <w:qFormat/>
    <w:uiPriority w:val="0"/>
    <w:rPr>
      <w:rFonts w:ascii="Times New Roman" w:hAnsi="Times New Roman"/>
      <w:sz w:val="28"/>
      <w:szCs w:val="28"/>
    </w:rPr>
  </w:style>
  <w:style w:type="paragraph" w:customStyle="1" w:styleId="83">
    <w:name w:val="Char"/>
    <w:basedOn w:val="1"/>
    <w:qFormat/>
    <w:uiPriority w:val="0"/>
    <w:rPr>
      <w:rFonts w:ascii="Tahoma" w:hAnsi="Tahoma"/>
      <w:sz w:val="24"/>
    </w:rPr>
  </w:style>
  <w:style w:type="paragraph" w:customStyle="1" w:styleId="84">
    <w:name w:val="D&amp;L"/>
    <w:basedOn w:val="35"/>
    <w:qFormat/>
    <w:uiPriority w:val="0"/>
    <w:pPr>
      <w:pBdr>
        <w:bottom w:val="thinThickSmallGap" w:color="auto" w:sz="18" w:space="1"/>
      </w:pBdr>
      <w:adjustRightInd w:val="0"/>
      <w:snapToGrid/>
      <w:spacing w:line="240" w:lineRule="atLeast"/>
      <w:textAlignment w:val="baseline"/>
    </w:pPr>
    <w:rPr>
      <w:kern w:val="0"/>
      <w:sz w:val="24"/>
    </w:rPr>
  </w:style>
  <w:style w:type="paragraph" w:customStyle="1" w:styleId="85">
    <w:name w:val="样式1"/>
    <w:basedOn w:val="1"/>
    <w:qFormat/>
    <w:uiPriority w:val="0"/>
    <w:pPr>
      <w:tabs>
        <w:tab w:val="left" w:pos="709"/>
      </w:tabs>
      <w:adjustRightInd w:val="0"/>
      <w:ind w:left="709" w:hanging="709"/>
      <w:textAlignment w:val="baseline"/>
    </w:pPr>
    <w:rPr>
      <w:rFonts w:ascii="宋体" w:hAnsi="宋体"/>
      <w:kern w:val="0"/>
    </w:rPr>
  </w:style>
  <w:style w:type="paragraph" w:customStyle="1" w:styleId="86">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87">
    <w:name w:val="font7"/>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88">
    <w:name w:val="SUR-需求定义-第4级"/>
    <w:basedOn w:val="10"/>
    <w:next w:val="1"/>
    <w:qFormat/>
    <w:uiPriority w:val="0"/>
    <w:pPr>
      <w:tabs>
        <w:tab w:val="left" w:pos="1080"/>
      </w:tabs>
      <w:spacing w:before="0" w:after="0"/>
      <w:ind w:left="-283" w:firstLine="283"/>
      <w:jc w:val="left"/>
    </w:pPr>
    <w:rPr>
      <w:rFonts w:cs="Arial"/>
      <w:b w:val="0"/>
      <w:color w:val="0000FF"/>
      <w:sz w:val="24"/>
      <w:szCs w:val="24"/>
    </w:rPr>
  </w:style>
  <w:style w:type="paragraph" w:customStyle="1" w:styleId="89">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9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91">
    <w:name w:val="样式 标题 2 + Times New Roman 四号 非加粗 段前: 5 磅 段后: 0 磅 行距: 固定值 20..."/>
    <w:basedOn w:val="8"/>
    <w:qFormat/>
    <w:uiPriority w:val="0"/>
    <w:pPr>
      <w:spacing w:before="100" w:after="0" w:line="400" w:lineRule="exact"/>
      <w:ind w:firstLine="0"/>
      <w:jc w:val="both"/>
    </w:pPr>
    <w:rPr>
      <w:rFonts w:ascii="Times New Roman" w:hAnsi="Times New Roman" w:cs="宋体"/>
      <w:b w:val="0"/>
      <w:bCs w:val="0"/>
      <w:sz w:val="28"/>
      <w:szCs w:val="20"/>
    </w:rPr>
  </w:style>
  <w:style w:type="paragraph" w:customStyle="1" w:styleId="92">
    <w:name w:val="Char Char Char Char Char Char Char1 Char_1"/>
    <w:basedOn w:val="71"/>
    <w:qFormat/>
    <w:uiPriority w:val="0"/>
    <w:rPr>
      <w:rFonts w:ascii="Tahoma" w:hAnsi="Tahoma"/>
      <w:sz w:val="24"/>
    </w:rPr>
  </w:style>
  <w:style w:type="paragraph" w:customStyle="1" w:styleId="93">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94">
    <w:name w:val="文章正文"/>
    <w:basedOn w:val="1"/>
    <w:qFormat/>
    <w:uiPriority w:val="0"/>
    <w:pPr>
      <w:tabs>
        <w:tab w:val="left" w:pos="992"/>
      </w:tabs>
      <w:spacing w:beforeLines="50" w:afterLines="50" w:line="320" w:lineRule="exact"/>
      <w:ind w:firstLine="200" w:firstLineChars="200"/>
    </w:pPr>
    <w:rPr>
      <w:rFonts w:ascii="仿宋_GB2312" w:eastAsia="仿宋_GB2312"/>
      <w:sz w:val="28"/>
      <w:szCs w:val="24"/>
    </w:rPr>
  </w:style>
  <w:style w:type="paragraph" w:customStyle="1" w:styleId="95">
    <w:name w:val="font9"/>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96">
    <w:name w:val="二级标题"/>
    <w:basedOn w:val="1"/>
    <w:next w:val="94"/>
    <w:qFormat/>
    <w:uiPriority w:val="0"/>
    <w:pPr>
      <w:tabs>
        <w:tab w:val="left" w:pos="992"/>
      </w:tabs>
      <w:ind w:left="992" w:hanging="567"/>
      <w:outlineLvl w:val="1"/>
    </w:pPr>
    <w:rPr>
      <w:rFonts w:ascii="黑体" w:eastAsia="黑体"/>
      <w:sz w:val="28"/>
      <w:szCs w:val="24"/>
    </w:rPr>
  </w:style>
  <w:style w:type="paragraph" w:customStyle="1" w:styleId="9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9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9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幼圆" w:hAnsi="宋体" w:eastAsia="幼圆"/>
      <w:kern w:val="0"/>
      <w:sz w:val="32"/>
      <w:szCs w:val="32"/>
    </w:rPr>
  </w:style>
  <w:style w:type="paragraph" w:customStyle="1" w:styleId="100">
    <w:name w:val="font8"/>
    <w:basedOn w:val="1"/>
    <w:qFormat/>
    <w:uiPriority w:val="0"/>
    <w:pPr>
      <w:widowControl/>
      <w:spacing w:before="100" w:beforeAutospacing="1" w:after="100" w:afterAutospacing="1"/>
      <w:jc w:val="left"/>
    </w:pPr>
    <w:rPr>
      <w:rFonts w:hint="eastAsia" w:ascii="宋体" w:hAnsi="宋体"/>
      <w:color w:val="000000"/>
      <w:kern w:val="0"/>
      <w:sz w:val="32"/>
      <w:szCs w:val="32"/>
    </w:rPr>
  </w:style>
  <w:style w:type="paragraph" w:customStyle="1" w:styleId="10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幼圆" w:hAnsi="宋体" w:eastAsia="幼圆"/>
      <w:kern w:val="0"/>
      <w:sz w:val="32"/>
      <w:szCs w:val="32"/>
    </w:rPr>
  </w:style>
  <w:style w:type="paragraph" w:customStyle="1" w:styleId="102">
    <w:name w:val="正文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
    <w:name w:val="一级标题"/>
    <w:basedOn w:val="1"/>
    <w:next w:val="96"/>
    <w:qFormat/>
    <w:uiPriority w:val="0"/>
    <w:pPr>
      <w:tabs>
        <w:tab w:val="left" w:pos="425"/>
        <w:tab w:val="left" w:pos="1418"/>
      </w:tabs>
      <w:spacing w:afterLines="100"/>
      <w:ind w:left="850" w:hanging="425"/>
      <w:outlineLvl w:val="0"/>
    </w:pPr>
    <w:rPr>
      <w:rFonts w:ascii="黑体" w:eastAsia="黑体"/>
      <w:sz w:val="30"/>
      <w:szCs w:val="28"/>
    </w:rPr>
  </w:style>
  <w:style w:type="paragraph" w:customStyle="1" w:styleId="104">
    <w:name w:val="Char Char Char Char Char Char Char1 Char_0"/>
    <w:basedOn w:val="102"/>
    <w:qFormat/>
    <w:uiPriority w:val="0"/>
    <w:rPr>
      <w:rFonts w:ascii="Tahoma" w:hAnsi="Tahoma"/>
      <w:sz w:val="24"/>
    </w:rPr>
  </w:style>
  <w:style w:type="paragraph" w:customStyle="1" w:styleId="105">
    <w:name w:val="Default"/>
    <w:qFormat/>
    <w:uiPriority w:val="99"/>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06">
    <w:name w:val="_Style 2"/>
    <w:basedOn w:val="1"/>
    <w:qFormat/>
    <w:uiPriority w:val="99"/>
    <w:pPr>
      <w:ind w:firstLine="200" w:firstLineChars="200"/>
    </w:pPr>
    <w:rPr>
      <w:rFonts w:ascii="Times New Roman" w:hAnsi="Times New Roman"/>
      <w:szCs w:val="21"/>
    </w:rPr>
  </w:style>
  <w:style w:type="character" w:customStyle="1" w:styleId="107">
    <w:name w:val="批注文字 Char"/>
    <w:basedOn w:val="53"/>
    <w:link w:val="21"/>
    <w:qFormat/>
    <w:uiPriority w:val="99"/>
    <w:rPr>
      <w:rFonts w:ascii="Calibri" w:hAnsi="Calibri"/>
      <w:kern w:val="2"/>
      <w:sz w:val="21"/>
      <w:szCs w:val="22"/>
    </w:rPr>
  </w:style>
  <w:style w:type="character" w:customStyle="1" w:styleId="108">
    <w:name w:val="批注主题 Char"/>
    <w:basedOn w:val="107"/>
    <w:link w:val="50"/>
    <w:semiHidden/>
    <w:qFormat/>
    <w:uiPriority w:val="0"/>
    <w:rPr>
      <w:rFonts w:ascii="Calibri" w:hAnsi="Calibri"/>
      <w:b/>
      <w:bCs/>
      <w:kern w:val="2"/>
      <w:sz w:val="21"/>
      <w:szCs w:val="22"/>
    </w:rPr>
  </w:style>
  <w:style w:type="paragraph" w:styleId="109">
    <w:name w:val="List Paragraph"/>
    <w:basedOn w:val="1"/>
    <w:link w:val="120"/>
    <w:unhideWhenUsed/>
    <w:qFormat/>
    <w:uiPriority w:val="34"/>
    <w:pPr>
      <w:ind w:firstLine="420" w:firstLineChars="200"/>
    </w:pPr>
  </w:style>
  <w:style w:type="character" w:customStyle="1" w:styleId="110">
    <w:name w:val="正文文本缩进 Char1"/>
    <w:link w:val="111"/>
    <w:qFormat/>
    <w:locked/>
    <w:uiPriority w:val="99"/>
    <w:rPr>
      <w:rFonts w:ascii="Calibri" w:hAnsi="Calibri"/>
    </w:rPr>
  </w:style>
  <w:style w:type="paragraph" w:customStyle="1" w:styleId="111">
    <w:name w:val="正文文本缩进1"/>
    <w:basedOn w:val="1"/>
    <w:link w:val="110"/>
    <w:qFormat/>
    <w:uiPriority w:val="99"/>
    <w:pPr>
      <w:ind w:firstLine="645"/>
    </w:pPr>
    <w:rPr>
      <w:kern w:val="0"/>
      <w:sz w:val="20"/>
      <w:szCs w:val="20"/>
    </w:rPr>
  </w:style>
  <w:style w:type="paragraph" w:customStyle="1" w:styleId="112">
    <w:name w:val="普通(网站)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113">
    <w:name w:val="样式3"/>
    <w:basedOn w:val="28"/>
    <w:qFormat/>
    <w:uiPriority w:val="99"/>
    <w:pPr>
      <w:spacing w:line="240" w:lineRule="atLeast"/>
      <w:outlineLvl w:val="0"/>
    </w:pPr>
    <w:rPr>
      <w:sz w:val="28"/>
      <w:szCs w:val="20"/>
    </w:rPr>
  </w:style>
  <w:style w:type="paragraph" w:customStyle="1" w:styleId="114">
    <w:name w:val="Normal1"/>
    <w:qFormat/>
    <w:uiPriority w:val="0"/>
    <w:pPr>
      <w:widowControl w:val="0"/>
      <w:adjustRightInd w:val="0"/>
      <w:spacing w:line="312" w:lineRule="atLeast"/>
      <w:jc w:val="both"/>
      <w:textAlignment w:val="baseline"/>
    </w:pPr>
    <w:rPr>
      <w:rFonts w:ascii="@仿宋_GB2312" w:hAnsi="@仿宋_GB2312" w:eastAsia="@仿宋_GB2312" w:cs="@仿宋_GB2312"/>
      <w:sz w:val="24"/>
      <w:lang w:val="en-US" w:eastAsia="zh-CN" w:bidi="ar-SA"/>
    </w:rPr>
  </w:style>
  <w:style w:type="paragraph" w:customStyle="1" w:styleId="115">
    <w:name w:val="列出段落3"/>
    <w:basedOn w:val="1"/>
    <w:unhideWhenUsed/>
    <w:qFormat/>
    <w:uiPriority w:val="34"/>
    <w:pPr>
      <w:ind w:firstLine="420" w:firstLineChars="200"/>
    </w:pPr>
    <w:rPr>
      <w:rFonts w:cs="黑体"/>
    </w:rPr>
  </w:style>
  <w:style w:type="character" w:customStyle="1" w:styleId="116">
    <w:name w:val="apple-style-span"/>
    <w:basedOn w:val="53"/>
    <w:qFormat/>
    <w:uiPriority w:val="0"/>
  </w:style>
  <w:style w:type="paragraph" w:customStyle="1" w:styleId="117">
    <w:name w:val="列出段落1"/>
    <w:basedOn w:val="1"/>
    <w:qFormat/>
    <w:uiPriority w:val="0"/>
    <w:pPr>
      <w:ind w:firstLine="420" w:firstLineChars="200"/>
    </w:pPr>
    <w:rPr>
      <w:rFonts w:ascii="Times New Roman" w:hAnsi="Times New Roman" w:cs="黑体"/>
      <w:szCs w:val="24"/>
    </w:rPr>
  </w:style>
  <w:style w:type="paragraph" w:customStyle="1" w:styleId="118">
    <w:name w:val="列出段落2"/>
    <w:basedOn w:val="1"/>
    <w:unhideWhenUsed/>
    <w:qFormat/>
    <w:uiPriority w:val="99"/>
    <w:pPr>
      <w:ind w:firstLine="420" w:firstLineChars="200"/>
    </w:pPr>
    <w:rPr>
      <w:rFonts w:cs="黑体"/>
    </w:rPr>
  </w:style>
  <w:style w:type="paragraph" w:customStyle="1" w:styleId="119">
    <w:name w:val="列出段落4"/>
    <w:basedOn w:val="1"/>
    <w:unhideWhenUsed/>
    <w:qFormat/>
    <w:uiPriority w:val="99"/>
    <w:pPr>
      <w:ind w:firstLine="420" w:firstLineChars="200"/>
    </w:pPr>
    <w:rPr>
      <w:rFonts w:cs="黑体"/>
    </w:rPr>
  </w:style>
  <w:style w:type="character" w:customStyle="1" w:styleId="120">
    <w:name w:val="列出段落 Char"/>
    <w:link w:val="109"/>
    <w:qFormat/>
    <w:locked/>
    <w:uiPriority w:val="34"/>
    <w:rPr>
      <w:rFonts w:ascii="Calibri" w:hAnsi="Calibri"/>
      <w:kern w:val="2"/>
      <w:sz w:val="21"/>
      <w:szCs w:val="22"/>
    </w:rPr>
  </w:style>
  <w:style w:type="paragraph" w:customStyle="1" w:styleId="121">
    <w:name w:val="paragraphindent"/>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2">
    <w:name w:val="15"/>
    <w:basedOn w:val="53"/>
    <w:qFormat/>
    <w:uiPriority w:val="0"/>
    <w:rPr>
      <w:rFonts w:hint="default" w:ascii="Times New Roman" w:hAnsi="Times New Roman" w:cs="Times New Roman"/>
      <w:b/>
      <w:bCs/>
      <w:kern w:val="44"/>
      <w:sz w:val="44"/>
      <w:szCs w:val="44"/>
    </w:rPr>
  </w:style>
  <w:style w:type="paragraph" w:customStyle="1" w:styleId="123">
    <w:name w:val="Table Paragraph"/>
    <w:basedOn w:val="1"/>
    <w:qFormat/>
    <w:uiPriority w:val="1"/>
  </w:style>
  <w:style w:type="character" w:customStyle="1" w:styleId="124">
    <w:name w:val="first-child2"/>
    <w:basedOn w:val="53"/>
    <w:qFormat/>
    <w:uiPriority w:val="0"/>
  </w:style>
  <w:style w:type="character" w:customStyle="1" w:styleId="125">
    <w:name w:val="first-child3"/>
    <w:basedOn w:val="53"/>
    <w:qFormat/>
    <w:uiPriority w:val="0"/>
  </w:style>
  <w:style w:type="character" w:customStyle="1" w:styleId="126">
    <w:name w:val="layui-layer-tabnow"/>
    <w:basedOn w:val="53"/>
    <w:qFormat/>
    <w:uiPriority w:val="0"/>
    <w:rPr>
      <w:bdr w:val="single" w:color="CCCCCC" w:sz="4" w:space="0"/>
      <w:shd w:val="clear" w:fill="FFFFFF"/>
    </w:rPr>
  </w:style>
  <w:style w:type="character" w:customStyle="1" w:styleId="127">
    <w:name w:val="first-child"/>
    <w:basedOn w:val="53"/>
    <w:qFormat/>
    <w:uiPriority w:val="0"/>
  </w:style>
  <w:style w:type="character" w:customStyle="1" w:styleId="128">
    <w:name w:val="first-child1"/>
    <w:basedOn w:val="53"/>
    <w:qFormat/>
    <w:uiPriority w:val="0"/>
  </w:style>
  <w:style w:type="paragraph" w:customStyle="1" w:styleId="129">
    <w:name w:val="宋体-小5"/>
    <w:basedOn w:val="1"/>
    <w:qFormat/>
    <w:uiPriority w:val="0"/>
    <w:pPr>
      <w:spacing w:line="240" w:lineRule="auto"/>
      <w:ind w:firstLine="0" w:firstLineChars="0"/>
      <w:jc w:val="left"/>
    </w:pPr>
    <w:rPr>
      <w:sz w:val="18"/>
    </w:rPr>
  </w:style>
  <w:style w:type="paragraph" w:customStyle="1" w:styleId="130">
    <w:name w:val="toc 12"/>
    <w:next w:val="1"/>
    <w:qFormat/>
    <w:uiPriority w:val="0"/>
    <w:pPr>
      <w:widowControl/>
      <w:wordWrap w:val="0"/>
      <w:autoSpaceDE/>
      <w:autoSpaceDN/>
      <w:spacing w:before="0" w:after="0" w:line="240" w:lineRule="auto"/>
      <w:ind w:left="0" w:firstLine="0"/>
      <w:jc w:val="both"/>
    </w:pPr>
    <w:rPr>
      <w:rFonts w:ascii="宋体" w:hAnsi="宋体" w:eastAsia="Times New Roman" w:cs="Times New Roman"/>
      <w:sz w:val="21"/>
    </w:rPr>
  </w:style>
  <w:style w:type="table" w:customStyle="1" w:styleId="13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53</Pages>
  <Words>21631</Words>
  <Characters>22759</Characters>
  <Lines>175</Lines>
  <Paragraphs>49</Paragraphs>
  <TotalTime>8</TotalTime>
  <ScaleCrop>false</ScaleCrop>
  <LinksUpToDate>false</LinksUpToDate>
  <CharactersWithSpaces>24352</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2018-11-23T16:54:00Z</dcterms:created>
  <dc:creator>Administrator</dc:creator>
  <cp:lastModifiedBy>uos</cp:lastModifiedBy>
  <cp:lastPrinted>2018-12-07T20:04:00Z</cp:lastPrinted>
  <dcterms:modified xsi:type="dcterms:W3CDTF">2024-11-18T15:30:35Z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560A9A2C43644C72BC1B9E03D659C958_13</vt:lpwstr>
  </property>
</Properties>
</file>