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20C18">
      <w:pPr>
        <w:pStyle w:val="5"/>
        <w:bidi w:val="0"/>
        <w:rPr>
          <w:rFonts w:hint="eastAsia"/>
          <w:color w:val="000000" w:themeColor="text1"/>
          <w:highlight w:val="none"/>
          <w:lang w:val="en-US" w:eastAsia="zh-CN"/>
          <w14:textFill>
            <w14:solidFill>
              <w14:schemeClr w14:val="tx1"/>
            </w14:solidFill>
          </w14:textFill>
        </w:rPr>
      </w:pPr>
      <w:bookmarkStart w:id="0" w:name="_Toc9537"/>
      <w:bookmarkEnd w:id="0"/>
      <w:bookmarkStart w:id="1" w:name="_Toc2499"/>
      <w:bookmarkEnd w:id="1"/>
      <w:bookmarkStart w:id="2" w:name="_Toc31109"/>
      <w:bookmarkEnd w:id="2"/>
      <w:bookmarkStart w:id="3" w:name="_Toc32609"/>
      <w:bookmarkStart w:id="4" w:name="_Toc19687"/>
      <w:bookmarkStart w:id="5" w:name="_Toc27821"/>
    </w:p>
    <w:p w14:paraId="27530981">
      <w:pPr>
        <w:pStyle w:val="5"/>
        <w:bidi w:val="0"/>
        <w:rPr>
          <w:rFonts w:hint="eastAsia"/>
          <w:color w:val="000000" w:themeColor="text1"/>
          <w:highlight w:val="none"/>
          <w:lang w:val="en-US" w:eastAsia="zh-CN"/>
          <w14:textFill>
            <w14:solidFill>
              <w14:schemeClr w14:val="tx1"/>
            </w14:solidFill>
          </w14:textFill>
        </w:rPr>
      </w:pPr>
    </w:p>
    <w:p w14:paraId="5A753EE6">
      <w:pPr>
        <w:pStyle w:val="5"/>
        <w:bidi w:val="0"/>
        <w:rPr>
          <w:rFonts w:hint="eastAsia"/>
          <w:color w:val="000000" w:themeColor="text1"/>
          <w:highlight w:val="none"/>
          <w14:textFill>
            <w14:solidFill>
              <w14:schemeClr w14:val="tx1"/>
            </w14:solidFill>
          </w14:textFill>
        </w:rPr>
      </w:pPr>
    </w:p>
    <w:p w14:paraId="46C1EC16">
      <w:pPr>
        <w:pStyle w:val="12"/>
        <w:bidi w:val="0"/>
        <w:rPr>
          <w:rFonts w:hint="eastAsia" w:eastAsia="宋体"/>
          <w:color w:val="000000" w:themeColor="text1"/>
          <w:sz w:val="52"/>
          <w:szCs w:val="52"/>
          <w:highlight w:val="none"/>
          <w:lang w:eastAsia="zh-CN"/>
          <w14:textFill>
            <w14:solidFill>
              <w14:schemeClr w14:val="tx1"/>
            </w14:solidFill>
          </w14:textFill>
        </w:rPr>
      </w:pPr>
      <w:r>
        <w:rPr>
          <w:rFonts w:hint="eastAsia"/>
          <w:color w:val="000000" w:themeColor="text1"/>
          <w:sz w:val="52"/>
          <w:szCs w:val="52"/>
          <w:highlight w:val="none"/>
          <w:lang w:eastAsia="zh-CN"/>
          <w14:textFill>
            <w14:solidFill>
              <w14:schemeClr w14:val="tx1"/>
            </w14:solidFill>
          </w14:textFill>
        </w:rPr>
        <w:t>淮南市2024年度高标准农田建设项目第三方验收服务</w:t>
      </w:r>
    </w:p>
    <w:p w14:paraId="78DF01BF">
      <w:pPr>
        <w:pStyle w:val="5"/>
        <w:bidi w:val="0"/>
        <w:rPr>
          <w:rFonts w:hint="eastAsia"/>
          <w:color w:val="000000" w:themeColor="text1"/>
          <w:highlight w:val="none"/>
          <w14:textFill>
            <w14:solidFill>
              <w14:schemeClr w14:val="tx1"/>
            </w14:solidFill>
          </w14:textFill>
        </w:rPr>
      </w:pPr>
    </w:p>
    <w:p w14:paraId="4D886C71">
      <w:pPr>
        <w:pStyle w:val="5"/>
        <w:bidi w:val="0"/>
        <w:rPr>
          <w:rFonts w:hint="eastAsia"/>
          <w:color w:val="000000" w:themeColor="text1"/>
          <w:highlight w:val="none"/>
          <w14:textFill>
            <w14:solidFill>
              <w14:schemeClr w14:val="tx1"/>
            </w14:solidFill>
          </w14:textFill>
        </w:rPr>
      </w:pPr>
    </w:p>
    <w:bookmarkEnd w:id="3"/>
    <w:bookmarkEnd w:id="4"/>
    <w:bookmarkEnd w:id="5"/>
    <w:p w14:paraId="4B09564C">
      <w:pPr>
        <w:pStyle w:val="12"/>
        <w:bidi w:val="0"/>
        <w:rPr>
          <w:rFonts w:hint="eastAsia"/>
          <w:color w:val="000000" w:themeColor="text1"/>
          <w:sz w:val="52"/>
          <w:szCs w:val="52"/>
          <w:highlight w:val="none"/>
          <w14:textFill>
            <w14:solidFill>
              <w14:schemeClr w14:val="tx1"/>
            </w14:solidFill>
          </w14:textFill>
        </w:rPr>
      </w:pPr>
      <w:bookmarkStart w:id="6" w:name="_Toc9791"/>
      <w:bookmarkEnd w:id="6"/>
      <w:bookmarkStart w:id="7" w:name="_Toc144880747"/>
      <w:bookmarkStart w:id="8" w:name="_Toc144887137"/>
      <w:bookmarkStart w:id="9" w:name="_Toc22216"/>
      <w:bookmarkStart w:id="10" w:name="_Toc24436"/>
      <w:r>
        <w:rPr>
          <w:rFonts w:hint="eastAsia"/>
          <w:color w:val="000000" w:themeColor="text1"/>
          <w:sz w:val="52"/>
          <w:szCs w:val="52"/>
          <w:highlight w:val="none"/>
          <w14:textFill>
            <w14:solidFill>
              <w14:schemeClr w14:val="tx1"/>
            </w14:solidFill>
          </w14:textFill>
        </w:rPr>
        <w:t>竞争性谈判文件</w:t>
      </w:r>
      <w:bookmarkEnd w:id="7"/>
      <w:bookmarkEnd w:id="8"/>
      <w:bookmarkEnd w:id="9"/>
      <w:bookmarkEnd w:id="10"/>
    </w:p>
    <w:p w14:paraId="03344954">
      <w:pPr>
        <w:pStyle w:val="12"/>
        <w:bidi w:val="0"/>
        <w:rPr>
          <w:rFonts w:hint="eastAsia"/>
          <w:color w:val="000000" w:themeColor="text1"/>
          <w:highlight w:val="none"/>
          <w14:textFill>
            <w14:solidFill>
              <w14:schemeClr w14:val="tx1"/>
            </w14:solidFill>
          </w14:textFill>
        </w:rPr>
      </w:pPr>
      <w:bookmarkStart w:id="11" w:name="_Toc144887138"/>
      <w:bookmarkStart w:id="12" w:name="_Toc144880748"/>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类）</w:t>
      </w:r>
      <w:bookmarkEnd w:id="11"/>
      <w:bookmarkEnd w:id="12"/>
    </w:p>
    <w:p w14:paraId="151603A9">
      <w:pPr>
        <w:pStyle w:val="5"/>
        <w:bidi w:val="0"/>
        <w:rPr>
          <w:rFonts w:hint="eastAsia"/>
          <w:color w:val="000000" w:themeColor="text1"/>
          <w:highlight w:val="none"/>
          <w14:textFill>
            <w14:solidFill>
              <w14:schemeClr w14:val="tx1"/>
            </w14:solidFill>
          </w14:textFill>
        </w:rPr>
      </w:pPr>
    </w:p>
    <w:p w14:paraId="67C2E336">
      <w:pPr>
        <w:pStyle w:val="5"/>
        <w:bidi w:val="0"/>
        <w:rPr>
          <w:rFonts w:hint="eastAsia"/>
          <w:color w:val="000000" w:themeColor="text1"/>
          <w:highlight w:val="none"/>
          <w14:textFill>
            <w14:solidFill>
              <w14:schemeClr w14:val="tx1"/>
            </w14:solidFill>
          </w14:textFill>
        </w:rPr>
      </w:pPr>
    </w:p>
    <w:p w14:paraId="0C96EC3D">
      <w:pPr>
        <w:pStyle w:val="5"/>
        <w:bidi w:val="0"/>
        <w:rPr>
          <w:rFonts w:hint="eastAsia"/>
          <w:color w:val="000000" w:themeColor="text1"/>
          <w:highlight w:val="none"/>
          <w14:textFill>
            <w14:solidFill>
              <w14:schemeClr w14:val="tx1"/>
            </w14:solidFill>
          </w14:textFill>
        </w:rPr>
      </w:pPr>
    </w:p>
    <w:p w14:paraId="3E3681EB">
      <w:pPr>
        <w:pStyle w:val="5"/>
        <w:bidi w:val="0"/>
        <w:rPr>
          <w:rFonts w:hint="eastAsia"/>
          <w:color w:val="000000" w:themeColor="text1"/>
          <w:highlight w:val="none"/>
          <w14:textFill>
            <w14:solidFill>
              <w14:schemeClr w14:val="tx1"/>
            </w14:solidFill>
          </w14:textFill>
        </w:rPr>
      </w:pPr>
    </w:p>
    <w:p w14:paraId="7B9B1D97">
      <w:pPr>
        <w:pStyle w:val="5"/>
        <w:bidi w:val="0"/>
        <w:rPr>
          <w:rFonts w:hint="eastAsia"/>
          <w:color w:val="000000" w:themeColor="text1"/>
          <w:highlight w:val="none"/>
          <w14:textFill>
            <w14:solidFill>
              <w14:schemeClr w14:val="tx1"/>
            </w14:solidFill>
          </w14:textFill>
        </w:rPr>
      </w:pPr>
    </w:p>
    <w:p w14:paraId="59C6D71D">
      <w:pPr>
        <w:pStyle w:val="5"/>
        <w:bidi w:val="0"/>
        <w:rPr>
          <w:rFonts w:hint="eastAsia"/>
          <w:color w:val="000000" w:themeColor="text1"/>
          <w:highlight w:val="none"/>
          <w14:textFill>
            <w14:solidFill>
              <w14:schemeClr w14:val="tx1"/>
            </w14:solidFill>
          </w14:textFill>
        </w:rPr>
      </w:pPr>
    </w:p>
    <w:p w14:paraId="6AFD6070">
      <w:pPr>
        <w:pStyle w:val="5"/>
        <w:bidi w:val="0"/>
        <w:rPr>
          <w:rFonts w:hint="eastAsia"/>
          <w:color w:val="000000" w:themeColor="text1"/>
          <w:highlight w:val="none"/>
          <w14:textFill>
            <w14:solidFill>
              <w14:schemeClr w14:val="tx1"/>
            </w14:solidFill>
          </w14:textFill>
        </w:rPr>
      </w:pPr>
    </w:p>
    <w:p w14:paraId="7A92A624">
      <w:pPr>
        <w:pStyle w:val="5"/>
        <w:bidi w:val="0"/>
        <w:rPr>
          <w:rFonts w:hint="eastAsia"/>
          <w:color w:val="000000" w:themeColor="text1"/>
          <w:sz w:val="32"/>
          <w:szCs w:val="32"/>
          <w:highlight w:val="none"/>
          <w:u w:val="single"/>
          <w:lang w:val="en-US" w:eastAsia="zh-CN"/>
          <w14:textFill>
            <w14:solidFill>
              <w14:schemeClr w14:val="tx1"/>
            </w14:solidFill>
          </w14:textFill>
        </w:rPr>
      </w:pPr>
      <w:r>
        <w:rPr>
          <w:rFonts w:hint="eastAsia"/>
          <w:color w:val="000000" w:themeColor="text1"/>
          <w:sz w:val="32"/>
          <w:szCs w:val="32"/>
          <w:highlight w:val="none"/>
          <w14:textFill>
            <w14:solidFill>
              <w14:schemeClr w14:val="tx1"/>
            </w14:solidFill>
          </w14:textFill>
        </w:rPr>
        <w:t>采 购 人：</w:t>
      </w:r>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eastAsia="zh-CN"/>
          <w14:textFill>
            <w14:solidFill>
              <w14:schemeClr w14:val="tx1"/>
            </w14:solidFill>
          </w14:textFill>
        </w:rPr>
        <w:t>淮南市农业农村局</w:t>
      </w:r>
      <w:r>
        <w:rPr>
          <w:rFonts w:hint="eastAsia"/>
          <w:color w:val="000000" w:themeColor="text1"/>
          <w:sz w:val="32"/>
          <w:szCs w:val="32"/>
          <w:highlight w:val="none"/>
          <w:u w:val="single"/>
          <w:lang w:val="en-US" w:eastAsia="zh-CN"/>
          <w14:textFill>
            <w14:solidFill>
              <w14:schemeClr w14:val="tx1"/>
            </w14:solidFill>
          </w14:textFill>
        </w:rPr>
        <w:t xml:space="preserve"> </w:t>
      </w:r>
    </w:p>
    <w:p w14:paraId="3865FA8D">
      <w:pPr>
        <w:pStyle w:val="5"/>
        <w:bidi w:val="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14:textFill>
            <w14:solidFill>
              <w14:schemeClr w14:val="tx1"/>
            </w14:solidFill>
          </w14:textFill>
        </w:rPr>
        <w:t>采购代理：</w:t>
      </w:r>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安徽聚信工程项目管理有限公司 </w:t>
      </w:r>
    </w:p>
    <w:p w14:paraId="53FF76D0">
      <w:pPr>
        <w:pStyle w:val="5"/>
        <w:bidi w:val="0"/>
        <w:rPr>
          <w:rFonts w:hint="eastAsia"/>
          <w:color w:val="000000" w:themeColor="text1"/>
          <w:sz w:val="32"/>
          <w:szCs w:val="32"/>
          <w:highlight w:val="none"/>
          <w:u w:val="single"/>
          <w:lang w:val="en-US" w:eastAsia="zh-CN"/>
          <w14:textFill>
            <w14:solidFill>
              <w14:schemeClr w14:val="tx1"/>
            </w14:solidFill>
          </w14:textFill>
        </w:rPr>
      </w:pPr>
      <w:r>
        <w:rPr>
          <w:rFonts w:hint="eastAsia"/>
          <w:color w:val="000000" w:themeColor="text1"/>
          <w:sz w:val="32"/>
          <w:szCs w:val="32"/>
          <w:highlight w:val="none"/>
          <w14:textFill>
            <w14:solidFill>
              <w14:schemeClr w14:val="tx1"/>
            </w14:solidFill>
          </w14:textFill>
        </w:rPr>
        <w:t>日    期：</w:t>
      </w:r>
      <w:r>
        <w:rPr>
          <w:rFonts w:hint="eastAsia"/>
          <w:color w:val="000000" w:themeColor="text1"/>
          <w:sz w:val="32"/>
          <w:szCs w:val="32"/>
          <w:highlight w:val="none"/>
          <w:u w:val="single"/>
          <w14:textFill>
            <w14:solidFill>
              <w14:schemeClr w14:val="tx1"/>
            </w14:solidFill>
          </w14:textFill>
        </w:rPr>
        <w:t xml:space="preserve"> </w:t>
      </w:r>
      <w:r>
        <w:rPr>
          <w:rFonts w:hint="eastAsia"/>
          <w:color w:val="000000" w:themeColor="text1"/>
          <w:sz w:val="32"/>
          <w:szCs w:val="32"/>
          <w:highlight w:val="none"/>
          <w:u w:val="single"/>
          <w:lang w:val="en-US" w:eastAsia="zh-CN"/>
          <w14:textFill>
            <w14:solidFill>
              <w14:schemeClr w14:val="tx1"/>
            </w14:solidFill>
          </w14:textFill>
        </w:rPr>
        <w:t xml:space="preserve">2025 </w:t>
      </w:r>
      <w:r>
        <w:rPr>
          <w:rFonts w:hint="eastAsia"/>
          <w:color w:val="000000" w:themeColor="text1"/>
          <w:sz w:val="32"/>
          <w:szCs w:val="32"/>
          <w:highlight w:val="none"/>
          <w:u w:val="single"/>
          <w14:textFill>
            <w14:solidFill>
              <w14:schemeClr w14:val="tx1"/>
            </w14:solidFill>
          </w14:textFill>
        </w:rPr>
        <w:t>年</w:t>
      </w:r>
      <w:r>
        <w:rPr>
          <w:rFonts w:hint="eastAsia"/>
          <w:color w:val="000000" w:themeColor="text1"/>
          <w:sz w:val="32"/>
          <w:szCs w:val="32"/>
          <w:highlight w:val="none"/>
          <w:u w:val="single"/>
          <w:lang w:val="en-US" w:eastAsia="zh-CN"/>
          <w14:textFill>
            <w14:solidFill>
              <w14:schemeClr w14:val="tx1"/>
            </w14:solidFill>
          </w14:textFill>
        </w:rPr>
        <w:t>8</w:t>
      </w:r>
      <w:r>
        <w:rPr>
          <w:rFonts w:hint="eastAsia"/>
          <w:color w:val="000000" w:themeColor="text1"/>
          <w:sz w:val="32"/>
          <w:szCs w:val="32"/>
          <w:highlight w:val="none"/>
          <w:u w:val="single"/>
          <w14:textFill>
            <w14:solidFill>
              <w14:schemeClr w14:val="tx1"/>
            </w14:solidFill>
          </w14:textFill>
        </w:rPr>
        <w:t>月</w:t>
      </w:r>
      <w:r>
        <w:rPr>
          <w:rFonts w:hint="eastAsia"/>
          <w:color w:val="000000" w:themeColor="text1"/>
          <w:sz w:val="32"/>
          <w:szCs w:val="32"/>
          <w:highlight w:val="none"/>
          <w:u w:val="single"/>
          <w:lang w:val="en-US" w:eastAsia="zh-CN"/>
          <w14:textFill>
            <w14:solidFill>
              <w14:schemeClr w14:val="tx1"/>
            </w14:solidFill>
          </w14:textFill>
        </w:rPr>
        <w:t>18</w:t>
      </w:r>
      <w:r>
        <w:rPr>
          <w:rFonts w:hint="eastAsia"/>
          <w:color w:val="000000" w:themeColor="text1"/>
          <w:sz w:val="32"/>
          <w:szCs w:val="32"/>
          <w:highlight w:val="none"/>
          <w:u w:val="single"/>
          <w14:textFill>
            <w14:solidFill>
              <w14:schemeClr w14:val="tx1"/>
            </w14:solidFill>
          </w14:textFill>
        </w:rPr>
        <w:t>日</w:t>
      </w:r>
      <w:r>
        <w:rPr>
          <w:rFonts w:hint="eastAsia"/>
          <w:color w:val="000000" w:themeColor="text1"/>
          <w:sz w:val="32"/>
          <w:szCs w:val="32"/>
          <w:highlight w:val="none"/>
          <w:u w:val="single"/>
          <w:lang w:val="en-US" w:eastAsia="zh-CN"/>
          <w14:textFill>
            <w14:solidFill>
              <w14:schemeClr w14:val="tx1"/>
            </w14:solidFill>
          </w14:textFill>
        </w:rPr>
        <w:t xml:space="preserve"> </w:t>
      </w:r>
    </w:p>
    <w:p w14:paraId="6B10431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sdt>
      <w:sdtPr>
        <w:rPr>
          <w:rFonts w:ascii="宋体" w:hAnsi="宋体" w:eastAsia="宋体" w:cs="宋体"/>
          <w:color w:val="000000" w:themeColor="text1"/>
          <w:kern w:val="2"/>
          <w:sz w:val="21"/>
          <w:szCs w:val="28"/>
          <w:highlight w:val="none"/>
          <w:lang w:val="en-US" w:eastAsia="zh-CN" w:bidi="ar-SA"/>
          <w14:textFill>
            <w14:solidFill>
              <w14:schemeClr w14:val="tx1"/>
            </w14:solidFill>
          </w14:textFill>
        </w:rPr>
        <w:id w:val="147476590"/>
        <w15:color w:val="DBDBDB"/>
        <w:docPartObj>
          <w:docPartGallery w:val="Table of Contents"/>
          <w:docPartUnique/>
        </w:docPartObj>
      </w:sdtPr>
      <w:sdtEndP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sdtEndPr>
      <w:sdtContent>
        <w:p w14:paraId="36F70CC4">
          <w:pPr>
            <w:pStyle w:val="12"/>
            <w:bidi w:val="0"/>
            <w:rPr>
              <w:b/>
              <w:bCs/>
              <w:color w:val="000000" w:themeColor="text1"/>
              <w:sz w:val="48"/>
              <w:szCs w:val="48"/>
              <w:highlight w:val="none"/>
              <w14:textFill>
                <w14:solidFill>
                  <w14:schemeClr w14:val="tx1"/>
                </w14:solidFill>
              </w14:textFill>
            </w:rPr>
          </w:pPr>
          <w:r>
            <w:rPr>
              <w:rFonts w:ascii="宋体" w:hAnsi="宋体" w:eastAsia="宋体"/>
              <w:b/>
              <w:bCs/>
              <w:color w:val="000000" w:themeColor="text1"/>
              <w:sz w:val="48"/>
              <w:szCs w:val="48"/>
              <w:highlight w:val="none"/>
              <w14:textFill>
                <w14:solidFill>
                  <w14:schemeClr w14:val="tx1"/>
                </w14:solidFill>
              </w14:textFill>
            </w:rPr>
            <w:t>目</w:t>
          </w:r>
          <w:r>
            <w:rPr>
              <w:rFonts w:hint="eastAsia" w:ascii="宋体" w:hAnsi="宋体" w:eastAsia="宋体"/>
              <w:b/>
              <w:bCs/>
              <w:color w:val="000000" w:themeColor="text1"/>
              <w:sz w:val="48"/>
              <w:szCs w:val="48"/>
              <w:highlight w:val="none"/>
              <w:lang w:val="en-US" w:eastAsia="zh-CN"/>
              <w14:textFill>
                <w14:solidFill>
                  <w14:schemeClr w14:val="tx1"/>
                </w14:solidFill>
              </w14:textFill>
            </w:rPr>
            <w:t xml:space="preserve">  </w:t>
          </w:r>
          <w:r>
            <w:rPr>
              <w:rFonts w:ascii="宋体" w:hAnsi="宋体" w:eastAsia="宋体"/>
              <w:b/>
              <w:bCs/>
              <w:color w:val="000000" w:themeColor="text1"/>
              <w:sz w:val="48"/>
              <w:szCs w:val="48"/>
              <w:highlight w:val="none"/>
              <w14:textFill>
                <w14:solidFill>
                  <w14:schemeClr w14:val="tx1"/>
                </w14:solidFill>
              </w14:textFill>
            </w:rPr>
            <w:t>录</w:t>
          </w:r>
        </w:p>
        <w:p w14:paraId="44CC5450">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TOC \o "1-1" \h \u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_Toc21371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竞争性谈判公告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12FB964">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_Toc25259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3A995ACC">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_Toc29666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085B421F">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_Toc23896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DCE7B2A">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_Toc32089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第五章 评审方法和标准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11123410">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_Toc11544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六</w:t>
          </w:r>
          <w:r>
            <w:rPr>
              <w:rFonts w:hint="eastAsia"/>
              <w:color w:val="000000" w:themeColor="text1"/>
              <w:highlight w:val="none"/>
              <w14:textFill>
                <w14:solidFill>
                  <w14:schemeClr w14:val="tx1"/>
                </w14:solidFill>
              </w14:textFill>
            </w:rPr>
            <w:t>章 政府采购合同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_Toc11544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426A29CF">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_Toc16323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第七章 谈判响应文件格式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7CF7C0E5">
          <w:pPr>
            <w:pStyle w:val="16"/>
            <w:tabs>
              <w:tab w:val="right" w:leader="dot" w:pos="9359"/>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\l _Toc28282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第八章 最终报价或第   次报价表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fldChar w:fldCharType="end"/>
          </w:r>
        </w:p>
        <w:p w14:paraId="210CD656">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end"/>
          </w:r>
        </w:p>
      </w:sdtContent>
    </w:sdt>
    <w:p w14:paraId="10BBB240">
      <w:pPr>
        <w:bidi w:val="0"/>
        <w:rPr>
          <w:rFonts w:hint="eastAsia"/>
          <w:color w:val="000000" w:themeColor="text1"/>
          <w:highlight w:val="none"/>
          <w14:textFill>
            <w14:solidFill>
              <w14:schemeClr w14:val="tx1"/>
            </w14:solidFill>
          </w14:textFill>
        </w:rPr>
      </w:pPr>
    </w:p>
    <w:p w14:paraId="058F6FF9">
      <w:pPr>
        <w:bidi w:val="0"/>
        <w:rPr>
          <w:rFonts w:hint="eastAsia"/>
          <w:color w:val="000000" w:themeColor="text1"/>
          <w:highlight w:val="none"/>
          <w14:textFill>
            <w14:solidFill>
              <w14:schemeClr w14:val="tx1"/>
            </w14:solidFill>
          </w14:textFill>
        </w:rPr>
        <w:sectPr>
          <w:type w:val="continuous"/>
          <w:pgSz w:w="11910" w:h="16850"/>
          <w:pgMar w:top="1134" w:right="1134" w:bottom="1134" w:left="1134" w:header="0" w:footer="0" w:gutter="283"/>
          <w:pgNumType w:fmt="decimal"/>
          <w:cols w:space="0" w:num="1"/>
          <w:rtlGutter w:val="0"/>
          <w:docGrid w:type="lines" w:linePitch="312" w:charSpace="0"/>
        </w:sectPr>
      </w:pPr>
      <w:bookmarkStart w:id="13" w:name="_Toc144887139"/>
    </w:p>
    <w:p w14:paraId="46972F7B">
      <w:pPr>
        <w:pStyle w:val="2"/>
        <w:bidi w:val="0"/>
        <w:rPr>
          <w:rFonts w:hint="eastAsia"/>
          <w:color w:val="000000" w:themeColor="text1"/>
          <w:highlight w:val="none"/>
          <w14:textFill>
            <w14:solidFill>
              <w14:schemeClr w14:val="tx1"/>
            </w14:solidFill>
          </w14:textFill>
        </w:rPr>
      </w:pPr>
      <w:bookmarkStart w:id="14" w:name="_Toc21371"/>
      <w:r>
        <w:rPr>
          <w:rFonts w:hint="eastAsia"/>
          <w:color w:val="000000" w:themeColor="text1"/>
          <w:highlight w:val="none"/>
          <w14:textFill>
            <w14:solidFill>
              <w14:schemeClr w14:val="tx1"/>
            </w14:solidFill>
          </w14:textFill>
        </w:rPr>
        <w:t>第一章 竞争性谈判公告</w:t>
      </w:r>
      <w:bookmarkEnd w:id="13"/>
      <w:bookmarkEnd w:id="14"/>
    </w:p>
    <w:p w14:paraId="6EAE34FC">
      <w:pPr>
        <w:pStyle w:val="12"/>
        <w:bidi w:val="0"/>
        <w:rPr>
          <w:rFonts w:hint="eastAsia"/>
          <w:color w:val="000000" w:themeColor="text1"/>
          <w:highlight w:val="none"/>
          <w14:textFill>
            <w14:solidFill>
              <w14:schemeClr w14:val="tx1"/>
            </w14:solidFill>
          </w14:textFill>
        </w:rPr>
      </w:pPr>
      <w:bookmarkStart w:id="15" w:name="_bookmark0"/>
      <w:bookmarkEnd w:id="15"/>
      <w:bookmarkStart w:id="16" w:name="第一章__磋商公告"/>
      <w:bookmarkEnd w:id="16"/>
      <w:bookmarkStart w:id="17" w:name="_Toc35393797"/>
      <w:bookmarkStart w:id="18" w:name="_Toc28359011"/>
      <w:bookmarkStart w:id="19" w:name="_Toc18025"/>
      <w:r>
        <w:rPr>
          <w:rFonts w:hint="eastAsia"/>
          <w:color w:val="000000" w:themeColor="text1"/>
          <w:highlight w:val="none"/>
          <w:lang w:eastAsia="zh-CN"/>
          <w14:textFill>
            <w14:solidFill>
              <w14:schemeClr w14:val="tx1"/>
            </w14:solidFill>
          </w14:textFill>
        </w:rPr>
        <w:t>淮南市2024年度高标准农田建设项目第三方验收服务</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一</w:t>
      </w:r>
      <w:r>
        <w:rPr>
          <w:rFonts w:hint="eastAsia"/>
          <w:color w:val="000000" w:themeColor="text1"/>
          <w:highlight w:val="none"/>
          <w14:textFill>
            <w14:solidFill>
              <w14:schemeClr w14:val="tx1"/>
            </w14:solidFill>
          </w14:textFill>
        </w:rPr>
        <w:t>次）竞争性谈判公告</w:t>
      </w:r>
    </w:p>
    <w:bookmarkEnd w:id="17"/>
    <w:bookmarkEnd w:id="18"/>
    <w:p w14:paraId="3A441898">
      <w:pPr>
        <w:pStyle w:val="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项目概况</w:t>
      </w:r>
    </w:p>
    <w:p w14:paraId="43DB24C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淮南市2024年度高标准农田建设项目第三方验收服务</w:t>
      </w:r>
      <w:r>
        <w:rPr>
          <w:rFonts w:hint="eastAsia"/>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采购项目的潜在供应商应在</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报名后</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获取</w:t>
      </w:r>
      <w:r>
        <w:rPr>
          <w:rFonts w:hint="eastAsia"/>
          <w:color w:val="000000" w:themeColor="text1"/>
          <w:highlight w:val="none"/>
          <w:lang w:val="en-US" w:eastAsia="zh-CN"/>
          <w14:textFill>
            <w14:solidFill>
              <w14:schemeClr w14:val="tx1"/>
            </w14:solidFill>
          </w14:textFill>
        </w:rPr>
        <w:t>采购</w:t>
      </w:r>
      <w:r>
        <w:rPr>
          <w:rFonts w:hint="eastAsia"/>
          <w:color w:val="000000" w:themeColor="text1"/>
          <w:highlight w:val="none"/>
          <w14:textFill>
            <w14:solidFill>
              <w14:schemeClr w14:val="tx1"/>
            </w14:solidFill>
          </w14:textFill>
        </w:rPr>
        <w:t>文件，并于</w:t>
      </w:r>
      <w:r>
        <w:rPr>
          <w:rFonts w:hint="eastAsia"/>
          <w:color w:val="000000" w:themeColor="text1"/>
          <w:highlight w:val="none"/>
          <w:u w:val="single"/>
          <w:lang w:val="en-US" w:eastAsia="zh-CN"/>
          <w14:textFill>
            <w14:solidFill>
              <w14:schemeClr w14:val="tx1"/>
            </w14:solidFill>
          </w14:textFill>
        </w:rPr>
        <w:t xml:space="preserve"> 2025年8月22日10点00分 </w:t>
      </w:r>
      <w:r>
        <w:rPr>
          <w:rFonts w:hint="eastAsia"/>
          <w:color w:val="000000" w:themeColor="text1"/>
          <w:highlight w:val="none"/>
          <w14:textFill>
            <w14:solidFill>
              <w14:schemeClr w14:val="tx1"/>
            </w14:solidFill>
          </w14:textFill>
        </w:rPr>
        <w:t>（北京时间）前</w:t>
      </w:r>
      <w:r>
        <w:rPr>
          <w:rFonts w:hint="eastAsia"/>
          <w:color w:val="000000" w:themeColor="text1"/>
          <w:highlight w:val="none"/>
          <w:lang w:val="en-US" w:eastAsia="zh-CN"/>
          <w14:textFill>
            <w14:solidFill>
              <w14:schemeClr w14:val="tx1"/>
            </w14:solidFill>
          </w14:textFill>
        </w:rPr>
        <w:t>提</w:t>
      </w:r>
      <w:r>
        <w:rPr>
          <w:rFonts w:hint="eastAsia"/>
          <w:color w:val="000000" w:themeColor="text1"/>
          <w:highlight w:val="none"/>
          <w14:textFill>
            <w14:solidFill>
              <w14:schemeClr w14:val="tx1"/>
            </w14:solidFill>
          </w14:textFill>
        </w:rPr>
        <w:t>交</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文件。</w:t>
      </w:r>
    </w:p>
    <w:p w14:paraId="560CAF5B">
      <w:pPr>
        <w:pStyle w:val="6"/>
        <w:bidi w:val="0"/>
        <w:rPr>
          <w:rFonts w:hint="eastAsia"/>
          <w:color w:val="000000" w:themeColor="text1"/>
          <w:highlight w:val="none"/>
          <w14:textFill>
            <w14:solidFill>
              <w14:schemeClr w14:val="tx1"/>
            </w14:solidFill>
          </w14:textFill>
        </w:rPr>
      </w:pPr>
      <w:bookmarkStart w:id="20" w:name="_Toc35393798"/>
      <w:bookmarkStart w:id="21" w:name="_Toc28359089"/>
      <w:bookmarkStart w:id="22" w:name="_Toc28359012"/>
      <w:bookmarkStart w:id="23" w:name="_Toc35393629"/>
      <w:r>
        <w:rPr>
          <w:rFonts w:hint="eastAsia"/>
          <w:color w:val="000000" w:themeColor="text1"/>
          <w:highlight w:val="none"/>
          <w14:textFill>
            <w14:solidFill>
              <w14:schemeClr w14:val="tx1"/>
            </w14:solidFill>
          </w14:textFill>
        </w:rPr>
        <w:t>一、项目基本情况</w:t>
      </w:r>
      <w:bookmarkEnd w:id="20"/>
      <w:bookmarkEnd w:id="21"/>
      <w:bookmarkEnd w:id="22"/>
      <w:bookmarkEnd w:id="23"/>
    </w:p>
    <w:p w14:paraId="6A13907D">
      <w:pPr>
        <w:pStyle w:val="5"/>
        <w:bidi w:val="0"/>
        <w:rPr>
          <w:rFonts w:hint="eastAsia"/>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val="en-US"/>
          <w14:textFill>
            <w14:solidFill>
              <w14:schemeClr w14:val="tx1"/>
            </w14:solidFill>
          </w14:textFill>
        </w:rPr>
        <w:t>2025JXCG021</w:t>
      </w:r>
    </w:p>
    <w:p w14:paraId="47EF835B">
      <w:pPr>
        <w:pStyle w:val="5"/>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淮南市2024年度高标准农田建设项目第三方验收服务</w:t>
      </w:r>
    </w:p>
    <w:p w14:paraId="7F3D89C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采购方式：竞争性谈判</w:t>
      </w:r>
    </w:p>
    <w:p w14:paraId="22EB0C7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w:t>
      </w:r>
      <w:r>
        <w:rPr>
          <w:rFonts w:hint="eastAsia"/>
          <w:color w:val="000000" w:themeColor="text1"/>
          <w:highlight w:val="none"/>
          <w:lang w:val="en-US" w:eastAsia="zh-CN"/>
          <w14:textFill>
            <w14:solidFill>
              <w14:schemeClr w14:val="tx1"/>
            </w14:solidFill>
          </w14:textFill>
        </w:rPr>
        <w:t>280000.00</w:t>
      </w:r>
      <w:r>
        <w:rPr>
          <w:rFonts w:hint="eastAsia"/>
          <w:color w:val="000000" w:themeColor="text1"/>
          <w:highlight w:val="none"/>
          <w14:textFill>
            <w14:solidFill>
              <w14:schemeClr w14:val="tx1"/>
            </w14:solidFill>
          </w14:textFill>
        </w:rPr>
        <w:t>元，财政资金</w:t>
      </w:r>
    </w:p>
    <w:p w14:paraId="2135C8C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w:t>
      </w:r>
      <w:r>
        <w:rPr>
          <w:rFonts w:hint="eastAsia"/>
          <w:color w:val="000000" w:themeColor="text1"/>
          <w:highlight w:val="none"/>
          <w:lang w:val="en-US" w:eastAsia="zh-CN"/>
          <w14:textFill>
            <w14:solidFill>
              <w14:schemeClr w14:val="tx1"/>
            </w14:solidFill>
          </w14:textFill>
        </w:rPr>
        <w:t>280000.00</w:t>
      </w:r>
      <w:r>
        <w:rPr>
          <w:rFonts w:hint="eastAsia"/>
          <w:color w:val="000000" w:themeColor="text1"/>
          <w:highlight w:val="none"/>
          <w14:textFill>
            <w14:solidFill>
              <w14:schemeClr w14:val="tx1"/>
            </w14:solidFill>
          </w14:textFill>
        </w:rPr>
        <w:t>元</w:t>
      </w:r>
    </w:p>
    <w:p w14:paraId="5AB463D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对全市7个县区2024年度建设任务26.83万亩（增发国债项目20.2万亩、中央财政补助和预算内投资项目6.63万亩），共29个项目。其中大通区2万亩3个项目，田家庵区0.6万亩1个项目，谢家集区0.95万亩1个项目，潘集区10万亩7个项目，毛集实验区0.5万亩1个项目，寿县11.78万亩14个项目，凤台县1万亩2个项目。在规定的时间内出具验收报告，报告内容主要包括：验收工作组织开展情况、建设内容完成情况、工程质量情况、资金到位和使用情况、管理制度执行情况、存在问题整改意见和建议等。</w:t>
      </w:r>
    </w:p>
    <w:p w14:paraId="52CC7E9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合同履行期限：</w:t>
      </w:r>
      <w:r>
        <w:rPr>
          <w:rFonts w:hint="eastAsia"/>
          <w:color w:val="000000" w:themeColor="text1"/>
          <w:highlight w:val="none"/>
          <w:lang w:val="en-US" w:eastAsia="zh-CN"/>
          <w14:textFill>
            <w14:solidFill>
              <w14:schemeClr w14:val="tx1"/>
            </w14:solidFill>
          </w14:textFill>
        </w:rPr>
        <w:t>9月底前全面完成市级验收</w:t>
      </w:r>
    </w:p>
    <w:p w14:paraId="6D29821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本项目（是/否）接受联合体：否</w:t>
      </w:r>
    </w:p>
    <w:p w14:paraId="65045DC5">
      <w:pPr>
        <w:pStyle w:val="6"/>
        <w:bidi w:val="0"/>
        <w:rPr>
          <w:rFonts w:hint="eastAsia"/>
          <w:color w:val="000000" w:themeColor="text1"/>
          <w:highlight w:val="none"/>
          <w14:textFill>
            <w14:solidFill>
              <w14:schemeClr w14:val="tx1"/>
            </w14:solidFill>
          </w14:textFill>
        </w:rPr>
      </w:pPr>
      <w:bookmarkStart w:id="24" w:name="_Toc28359013"/>
      <w:bookmarkStart w:id="25" w:name="_Toc28359090"/>
      <w:bookmarkStart w:id="26" w:name="_Toc35393799"/>
      <w:bookmarkStart w:id="27" w:name="_Toc35393630"/>
      <w:r>
        <w:rPr>
          <w:rFonts w:hint="eastAsia"/>
          <w:color w:val="000000" w:themeColor="text1"/>
          <w:highlight w:val="none"/>
          <w14:textFill>
            <w14:solidFill>
              <w14:schemeClr w14:val="tx1"/>
            </w14:solidFill>
          </w14:textFill>
        </w:rPr>
        <w:t>二、申请人的资格要求</w:t>
      </w:r>
      <w:bookmarkEnd w:id="24"/>
      <w:bookmarkEnd w:id="25"/>
      <w:bookmarkEnd w:id="26"/>
      <w:bookmarkEnd w:id="27"/>
    </w:p>
    <w:p w14:paraId="12AC058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1.满足《中华人民共和国政府采购法》第二十二条规定；</w:t>
      </w:r>
    </w:p>
    <w:p w14:paraId="4A945A93">
      <w:pPr>
        <w:pStyle w:val="5"/>
        <w:bidi w:val="0"/>
        <w:rPr>
          <w:rFonts w:hint="eastAsia"/>
          <w:color w:val="000000" w:themeColor="text1"/>
          <w:highlight w:val="none"/>
          <w:lang w:val="en-US" w:eastAsia="zh-CN"/>
          <w14:textFill>
            <w14:solidFill>
              <w14:schemeClr w14:val="tx1"/>
            </w14:solidFill>
          </w14:textFill>
        </w:rPr>
      </w:pPr>
      <w:bookmarkStart w:id="28" w:name="_Toc28359014"/>
      <w:bookmarkStart w:id="29" w:name="_Toc28359091"/>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落实政府采购政策需满足的资格要求：按照财政部、工业和信息化部</w:t>
      </w:r>
      <w:r>
        <w:rPr>
          <w:rFonts w:hint="eastAsia"/>
          <w:color w:val="000000" w:themeColor="text1"/>
          <w:highlight w:val="none"/>
          <w:lang w:val="en-US" w:eastAsia="zh-CN"/>
          <w14:textFill>
            <w14:solidFill>
              <w14:schemeClr w14:val="tx1"/>
            </w14:solidFill>
          </w14:textFill>
        </w:rPr>
        <w:t>制定的《政府采购促进中小企业发展管理办法》，本项目为专门面向中小企业采购项目。</w:t>
      </w:r>
    </w:p>
    <w:p w14:paraId="5D003DD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3.本项目的特定资格要求：</w:t>
      </w:r>
      <w:r>
        <w:rPr>
          <w:rFonts w:hint="eastAsia"/>
          <w:color w:val="000000" w:themeColor="text1"/>
          <w:highlight w:val="none"/>
          <w:lang w:eastAsia="zh-CN"/>
          <w14:textFill>
            <w14:solidFill>
              <w14:schemeClr w14:val="tx1"/>
            </w14:solidFill>
          </w14:textFill>
        </w:rPr>
        <w:t>无</w:t>
      </w:r>
      <w:r>
        <w:rPr>
          <w:rFonts w:hint="eastAsia"/>
          <w:color w:val="000000" w:themeColor="text1"/>
          <w:highlight w:val="none"/>
          <w14:textFill>
            <w14:solidFill>
              <w14:schemeClr w14:val="tx1"/>
            </w14:solidFill>
          </w14:textFill>
        </w:rPr>
        <w:t>。</w:t>
      </w:r>
    </w:p>
    <w:p w14:paraId="0F1AC13C">
      <w:pPr>
        <w:pStyle w:val="6"/>
        <w:bidi w:val="0"/>
        <w:rPr>
          <w:rFonts w:hint="eastAsia"/>
          <w:color w:val="000000" w:themeColor="text1"/>
          <w:highlight w:val="none"/>
          <w14:textFill>
            <w14:solidFill>
              <w14:schemeClr w14:val="tx1"/>
            </w14:solidFill>
          </w14:textFill>
        </w:rPr>
      </w:pPr>
      <w:bookmarkStart w:id="30" w:name="_Toc35393800"/>
      <w:bookmarkStart w:id="31" w:name="_Toc35393631"/>
      <w:r>
        <w:rPr>
          <w:rFonts w:hint="eastAsia"/>
          <w:color w:val="000000" w:themeColor="text1"/>
          <w:highlight w:val="none"/>
          <w14:textFill>
            <w14:solidFill>
              <w14:schemeClr w14:val="tx1"/>
            </w14:solidFill>
          </w14:textFill>
        </w:rPr>
        <w:t>三、获取采购文件</w:t>
      </w:r>
      <w:bookmarkEnd w:id="28"/>
      <w:bookmarkEnd w:id="29"/>
      <w:bookmarkEnd w:id="30"/>
      <w:bookmarkEnd w:id="31"/>
    </w:p>
    <w:p w14:paraId="7A3C258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w:t>
      </w:r>
      <w:r>
        <w:rPr>
          <w:rFonts w:hint="eastAsia"/>
          <w:color w:val="000000" w:themeColor="text1"/>
          <w:highlight w:val="non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日至</w:t>
      </w:r>
      <w:r>
        <w:rPr>
          <w:rFonts w:hint="eastAsia"/>
          <w:color w:val="000000" w:themeColor="text1"/>
          <w:highlight w:val="non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21</w:t>
      </w:r>
      <w:r>
        <w:rPr>
          <w:rFonts w:hint="eastAsia"/>
          <w:color w:val="000000" w:themeColor="text1"/>
          <w:highlight w:val="none"/>
          <w14:textFill>
            <w14:solidFill>
              <w14:schemeClr w14:val="tx1"/>
            </w14:solidFill>
          </w14:textFill>
        </w:rPr>
        <w:t>日（工作时间9:00-11:00，15:00-17:00）</w:t>
      </w:r>
    </w:p>
    <w:p w14:paraId="5A905701">
      <w:pPr>
        <w:pStyle w:val="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地点：淮南市政务中心A座242室</w:t>
      </w:r>
    </w:p>
    <w:p w14:paraId="7AE18A72">
      <w:pPr>
        <w:pStyle w:val="5"/>
        <w:bidi w:val="0"/>
        <w:rPr>
          <w:rFonts w:hint="eastAsia"/>
          <w:color w:val="000000" w:themeColor="text1"/>
          <w:highlight w:val="none"/>
          <w:lang w:val="en-US" w:eastAsia="zh-CN"/>
          <w14:textFill>
            <w14:solidFill>
              <w14:schemeClr w14:val="tx1"/>
            </w14:solidFill>
          </w14:textFill>
        </w:rPr>
      </w:pPr>
      <w:bookmarkStart w:id="32" w:name="_Toc28359092"/>
      <w:bookmarkStart w:id="33" w:name="_Toc28359015"/>
      <w:bookmarkStart w:id="34" w:name="_Toc35393632"/>
      <w:bookmarkStart w:id="35" w:name="_Toc35393801"/>
      <w:r>
        <w:rPr>
          <w:rFonts w:hint="eastAsia"/>
          <w:color w:val="000000" w:themeColor="text1"/>
          <w:highlight w:val="none"/>
          <w:lang w:val="en-US" w:eastAsia="zh-CN"/>
          <w14:textFill>
            <w14:solidFill>
              <w14:schemeClr w14:val="tx1"/>
            </w14:solidFill>
          </w14:textFill>
        </w:rPr>
        <w:t>公告发布地址：淮南市农业农村局（https://nyncj.huainan.gov.cn/）</w:t>
      </w:r>
    </w:p>
    <w:p w14:paraId="53D5B7C0">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方式：邮箱（1402431990@qq.com）或现场报名领取（招标代理公司），</w:t>
      </w:r>
      <w:r>
        <w:rPr>
          <w:rFonts w:hint="eastAsia"/>
          <w:color w:val="000000" w:themeColor="text1"/>
          <w:highlight w:val="none"/>
          <w:lang w:val="en-US" w:eastAsia="zh-CN"/>
          <w14:textFill>
            <w14:solidFill>
              <w14:schemeClr w14:val="tx1"/>
            </w14:solidFill>
          </w14:textFill>
        </w:rPr>
        <w:t>投标供应商应在工作日内现场递交报名材料。提供以下证件的复印件并加盖公章：营业执照、授权委托书、授权委托人身份证。因提供材料不全或并未联系确认导致报名失败的后果由投标人自行承担。</w:t>
      </w:r>
    </w:p>
    <w:p w14:paraId="011B00E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售价：0元</w:t>
      </w:r>
    </w:p>
    <w:p w14:paraId="27C5CEEA">
      <w:pPr>
        <w:pStyle w:val="6"/>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四、响应文件提交</w:t>
      </w:r>
      <w:bookmarkEnd w:id="32"/>
      <w:bookmarkEnd w:id="33"/>
      <w:bookmarkEnd w:id="34"/>
      <w:bookmarkEnd w:id="35"/>
    </w:p>
    <w:p w14:paraId="7D7C045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截止时间：</w:t>
      </w:r>
      <w:r>
        <w:rPr>
          <w:rFonts w:hint="eastAsia"/>
          <w:color w:val="000000" w:themeColor="text1"/>
          <w:highlight w:val="non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22</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点</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分（北京时间）</w:t>
      </w:r>
    </w:p>
    <w:p w14:paraId="405E106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提交地点：</w:t>
      </w:r>
      <w:r>
        <w:rPr>
          <w:rFonts w:hint="eastAsia"/>
          <w:color w:val="000000" w:themeColor="text1"/>
          <w:highlight w:val="none"/>
          <w:lang w:val="en-US" w:eastAsia="zh-CN"/>
          <w14:textFill>
            <w14:solidFill>
              <w14:schemeClr w14:val="tx1"/>
            </w14:solidFill>
          </w14:textFill>
        </w:rPr>
        <w:t>淮南市政务中心A座242室。</w:t>
      </w:r>
    </w:p>
    <w:p w14:paraId="7637A2AC">
      <w:pPr>
        <w:pStyle w:val="6"/>
        <w:bidi w:val="0"/>
        <w:rPr>
          <w:rFonts w:hint="eastAsia"/>
          <w:color w:val="000000" w:themeColor="text1"/>
          <w:highlight w:val="none"/>
          <w14:textFill>
            <w14:solidFill>
              <w14:schemeClr w14:val="tx1"/>
            </w14:solidFill>
          </w14:textFill>
        </w:rPr>
      </w:pPr>
      <w:bookmarkStart w:id="36" w:name="_Toc35393802"/>
      <w:bookmarkStart w:id="37" w:name="_Toc28359093"/>
      <w:bookmarkStart w:id="38" w:name="_Toc28359016"/>
      <w:bookmarkStart w:id="39" w:name="_Toc35393633"/>
      <w:r>
        <w:rPr>
          <w:rFonts w:hint="eastAsia"/>
          <w:color w:val="000000" w:themeColor="text1"/>
          <w:highlight w:val="none"/>
          <w14:textFill>
            <w14:solidFill>
              <w14:schemeClr w14:val="tx1"/>
            </w14:solidFill>
          </w14:textFill>
        </w:rPr>
        <w:t>五、开启</w:t>
      </w:r>
      <w:bookmarkEnd w:id="36"/>
      <w:bookmarkEnd w:id="37"/>
      <w:bookmarkEnd w:id="38"/>
      <w:bookmarkEnd w:id="39"/>
    </w:p>
    <w:p w14:paraId="3F59C5C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w:t>
      </w:r>
      <w:r>
        <w:rPr>
          <w:rFonts w:hint="eastAsia"/>
          <w:color w:val="000000" w:themeColor="text1"/>
          <w:highlight w:val="none"/>
          <w:lang w:val="en-US" w:eastAsia="zh-CN"/>
          <w14:textFill>
            <w14:solidFill>
              <w14:schemeClr w14:val="tx1"/>
            </w14:solidFill>
          </w14:textFill>
        </w:rPr>
        <w:t>2025年8月22日10点00分</w:t>
      </w:r>
      <w:r>
        <w:rPr>
          <w:rFonts w:hint="eastAsia"/>
          <w:color w:val="000000" w:themeColor="text1"/>
          <w:highlight w:val="none"/>
          <w14:textFill>
            <w14:solidFill>
              <w14:schemeClr w14:val="tx1"/>
            </w14:solidFill>
          </w14:textFill>
        </w:rPr>
        <w:t>（北京时间）</w:t>
      </w:r>
    </w:p>
    <w:p w14:paraId="6D903AC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w:t>
      </w:r>
      <w:r>
        <w:rPr>
          <w:rFonts w:hint="eastAsia"/>
          <w:color w:val="000000" w:themeColor="text1"/>
          <w:highlight w:val="none"/>
          <w:lang w:val="en-US" w:eastAsia="zh-CN"/>
          <w14:textFill>
            <w14:solidFill>
              <w14:schemeClr w14:val="tx1"/>
            </w14:solidFill>
          </w14:textFill>
        </w:rPr>
        <w:t>淮南市政务中心A座242室。</w:t>
      </w:r>
    </w:p>
    <w:p w14:paraId="6442D260">
      <w:pPr>
        <w:pStyle w:val="6"/>
        <w:bidi w:val="0"/>
        <w:rPr>
          <w:rFonts w:hint="eastAsia"/>
          <w:color w:val="000000" w:themeColor="text1"/>
          <w:highlight w:val="none"/>
          <w14:textFill>
            <w14:solidFill>
              <w14:schemeClr w14:val="tx1"/>
            </w14:solidFill>
          </w14:textFill>
        </w:rPr>
      </w:pPr>
      <w:bookmarkStart w:id="40" w:name="_Toc35393634"/>
      <w:bookmarkStart w:id="41" w:name="_Toc28359094"/>
      <w:bookmarkStart w:id="42" w:name="_Toc28359017"/>
      <w:bookmarkStart w:id="43" w:name="_Toc35393803"/>
      <w:r>
        <w:rPr>
          <w:rFonts w:hint="eastAsia"/>
          <w:color w:val="000000" w:themeColor="text1"/>
          <w:highlight w:val="none"/>
          <w14:textFill>
            <w14:solidFill>
              <w14:schemeClr w14:val="tx1"/>
            </w14:solidFill>
          </w14:textFill>
        </w:rPr>
        <w:t>六、公告期限</w:t>
      </w:r>
      <w:bookmarkEnd w:id="40"/>
      <w:bookmarkEnd w:id="41"/>
      <w:bookmarkEnd w:id="42"/>
      <w:bookmarkEnd w:id="43"/>
    </w:p>
    <w:p w14:paraId="428003D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自本公告发布之日起3个工作日。</w:t>
      </w:r>
    </w:p>
    <w:p w14:paraId="7B1B4E0A">
      <w:pPr>
        <w:pStyle w:val="6"/>
        <w:bidi w:val="0"/>
        <w:rPr>
          <w:rFonts w:hint="eastAsia"/>
          <w:color w:val="000000" w:themeColor="text1"/>
          <w:highlight w:val="none"/>
          <w14:textFill>
            <w14:solidFill>
              <w14:schemeClr w14:val="tx1"/>
            </w14:solidFill>
          </w14:textFill>
        </w:rPr>
      </w:pPr>
      <w:bookmarkStart w:id="44" w:name="_Toc35393635"/>
      <w:bookmarkStart w:id="45" w:name="_Toc35393804"/>
      <w:r>
        <w:rPr>
          <w:rFonts w:hint="eastAsia"/>
          <w:color w:val="000000" w:themeColor="text1"/>
          <w:highlight w:val="none"/>
          <w14:textFill>
            <w14:solidFill>
              <w14:schemeClr w14:val="tx1"/>
            </w14:solidFill>
          </w14:textFill>
        </w:rPr>
        <w:t>七、其他补充事宜</w:t>
      </w:r>
      <w:bookmarkEnd w:id="44"/>
      <w:bookmarkEnd w:id="45"/>
    </w:p>
    <w:p w14:paraId="7245B53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1.关于本项目的发布、变更、答疑等信息将在网上发布。供应商须随时关注该项目信息动态，如因关注不及时错过信息下载，责任自行承担。</w:t>
      </w:r>
    </w:p>
    <w:p w14:paraId="6067DA0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2.开评标说明：供应商授权委托人参加开标会必须手持法人代表授权书、身份证原件参加开标会（法定代表人参加开标会提供身份证原件及身份证复印件和营业执照复印件）。</w:t>
      </w:r>
    </w:p>
    <w:p w14:paraId="7EEEF54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.本项目免收谈判保证金。</w:t>
      </w:r>
    </w:p>
    <w:p w14:paraId="51B0E2FB">
      <w:pPr>
        <w:pStyle w:val="6"/>
        <w:bidi w:val="0"/>
        <w:rPr>
          <w:rFonts w:hint="eastAsia"/>
          <w:color w:val="000000" w:themeColor="text1"/>
          <w:highlight w:val="none"/>
          <w14:textFill>
            <w14:solidFill>
              <w14:schemeClr w14:val="tx1"/>
            </w14:solidFill>
          </w14:textFill>
        </w:rPr>
      </w:pPr>
      <w:bookmarkStart w:id="46" w:name="_Toc28359018"/>
      <w:bookmarkStart w:id="47" w:name="_Toc28359095"/>
      <w:bookmarkStart w:id="48" w:name="_Toc35393636"/>
      <w:bookmarkStart w:id="49" w:name="_Toc35393805"/>
      <w:r>
        <w:rPr>
          <w:rFonts w:hint="eastAsia"/>
          <w:color w:val="000000" w:themeColor="text1"/>
          <w:highlight w:val="none"/>
          <w14:textFill>
            <w14:solidFill>
              <w14:schemeClr w14:val="tx1"/>
            </w14:solidFill>
          </w14:textFill>
        </w:rPr>
        <w:t>八、凡对本次采购提出询问，请按以下方式联系。</w:t>
      </w:r>
      <w:bookmarkEnd w:id="46"/>
      <w:bookmarkEnd w:id="47"/>
      <w:bookmarkEnd w:id="48"/>
      <w:bookmarkEnd w:id="49"/>
    </w:p>
    <w:p w14:paraId="43ADD1D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1.采购人信息</w:t>
      </w:r>
    </w:p>
    <w:p w14:paraId="79398BE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w:t>
      </w:r>
      <w:r>
        <w:rPr>
          <w:rFonts w:hint="eastAsia"/>
          <w:color w:val="000000" w:themeColor="text1"/>
          <w:highlight w:val="none"/>
          <w:lang w:eastAsia="zh-CN"/>
          <w14:textFill>
            <w14:solidFill>
              <w14:schemeClr w14:val="tx1"/>
            </w14:solidFill>
          </w14:textFill>
        </w:rPr>
        <w:t>淮南市农业农村局</w:t>
      </w:r>
    </w:p>
    <w:p w14:paraId="38556BDF">
      <w:pPr>
        <w:pStyle w:val="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地   址：淮南市政务中心A座</w:t>
      </w:r>
    </w:p>
    <w:p w14:paraId="44F1882E">
      <w:pPr>
        <w:pStyle w:val="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联系方式：05545361242</w:t>
      </w:r>
    </w:p>
    <w:p w14:paraId="37F53A7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2.采购代理机构信息</w:t>
      </w:r>
    </w:p>
    <w:p w14:paraId="7A0290A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称：安徽聚信工程项目管理有限公司</w:t>
      </w:r>
    </w:p>
    <w:p w14:paraId="5CDC7DF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址：西湖春天西门34号商铺204</w:t>
      </w:r>
    </w:p>
    <w:p w14:paraId="22A940B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联系方式：15395466009</w:t>
      </w:r>
    </w:p>
    <w:p w14:paraId="242B558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3.项目联系方式</w:t>
      </w:r>
    </w:p>
    <w:p w14:paraId="5DEE0F6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w:t>
      </w:r>
      <w:r>
        <w:rPr>
          <w:rFonts w:hint="eastAsia"/>
          <w:color w:val="000000" w:themeColor="text1"/>
          <w:highlight w:val="none"/>
          <w:lang w:eastAsia="zh-CN"/>
          <w14:textFill>
            <w14:solidFill>
              <w14:schemeClr w14:val="tx1"/>
            </w14:solidFill>
          </w14:textFill>
        </w:rPr>
        <w:t>陈磊</w:t>
      </w:r>
      <w:r>
        <w:rPr>
          <w:rFonts w:hint="eastAsia"/>
          <w:color w:val="000000" w:themeColor="text1"/>
          <w:highlight w:val="none"/>
          <w14:textFill>
            <w14:solidFill>
              <w14:schemeClr w14:val="tx1"/>
            </w14:solidFill>
          </w14:textFill>
        </w:rPr>
        <w:t>（采购人代表）、胡海（代理机构）</w:t>
      </w:r>
    </w:p>
    <w:p w14:paraId="6CE134E6">
      <w:pPr>
        <w:pStyle w:val="5"/>
        <w:bidi w:val="0"/>
        <w:rPr>
          <w:rFonts w:hint="eastAsia"/>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电   话：05545361242、</w:t>
      </w:r>
      <w:r>
        <w:rPr>
          <w:rFonts w:hint="eastAsia"/>
          <w:color w:val="000000" w:themeColor="text1"/>
          <w:highlight w:val="none"/>
          <w:lang w:val="en-US"/>
          <w14:textFill>
            <w14:solidFill>
              <w14:schemeClr w14:val="tx1"/>
            </w14:solidFill>
          </w14:textFill>
        </w:rPr>
        <w:t>15395466009</w:t>
      </w:r>
    </w:p>
    <w:bookmarkEnd w:id="19"/>
    <w:p w14:paraId="1678F339">
      <w:pPr>
        <w:pStyle w:val="5"/>
        <w:bidi w:val="0"/>
        <w:rPr>
          <w:rFonts w:hint="eastAsia"/>
          <w:color w:val="000000" w:themeColor="text1"/>
          <w:highlight w:val="none"/>
          <w14:textFill>
            <w14:solidFill>
              <w14:schemeClr w14:val="tx1"/>
            </w14:solidFill>
          </w14:textFill>
        </w:rPr>
      </w:pPr>
      <w:bookmarkStart w:id="50" w:name="_Toc144887140"/>
      <w:r>
        <w:rPr>
          <w:rFonts w:hint="eastAsia"/>
          <w:color w:val="000000" w:themeColor="text1"/>
          <w:highlight w:val="none"/>
          <w14:textFill>
            <w14:solidFill>
              <w14:schemeClr w14:val="tx1"/>
            </w14:solidFill>
          </w14:textFill>
        </w:rPr>
        <w:br w:type="page"/>
      </w:r>
    </w:p>
    <w:p w14:paraId="6B0C9F3E">
      <w:pPr>
        <w:pStyle w:val="2"/>
        <w:bidi w:val="0"/>
        <w:rPr>
          <w:rFonts w:hint="eastAsia"/>
          <w:color w:val="000000" w:themeColor="text1"/>
          <w:highlight w:val="none"/>
          <w14:textFill>
            <w14:solidFill>
              <w14:schemeClr w14:val="tx1"/>
            </w14:solidFill>
          </w14:textFill>
        </w:rPr>
      </w:pPr>
      <w:bookmarkStart w:id="51" w:name="_Toc25259"/>
      <w:r>
        <w:rPr>
          <w:rFonts w:hint="eastAsia"/>
          <w:color w:val="000000" w:themeColor="text1"/>
          <w:highlight w:val="none"/>
          <w14:textFill>
            <w14:solidFill>
              <w14:schemeClr w14:val="tx1"/>
            </w14:solidFill>
          </w14:textFill>
        </w:rPr>
        <w:t>第二章 供应商须知前附表</w:t>
      </w:r>
      <w:bookmarkEnd w:id="50"/>
      <w:bookmarkEnd w:id="51"/>
    </w:p>
    <w:tbl>
      <w:tblPr>
        <w:tblStyle w:val="25"/>
        <w:tblW w:w="0" w:type="auto"/>
        <w:jc w:val="center"/>
        <w:tblLayout w:type="fixed"/>
        <w:tblCellMar>
          <w:top w:w="0" w:type="dxa"/>
          <w:left w:w="0" w:type="dxa"/>
          <w:bottom w:w="0" w:type="dxa"/>
          <w:right w:w="0" w:type="dxa"/>
        </w:tblCellMar>
      </w:tblPr>
      <w:tblGrid>
        <w:gridCol w:w="674"/>
        <w:gridCol w:w="2040"/>
        <w:gridCol w:w="7794"/>
      </w:tblGrid>
      <w:tr w14:paraId="2419495C">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6D88C938">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52" w:name="_Toc8312"/>
            <w:bookmarkEnd w:id="52"/>
            <w:bookmarkStart w:id="53" w:name="_Toc29062"/>
            <w:bookmarkEnd w:id="53"/>
            <w:bookmarkStart w:id="54" w:name="_Toc25994"/>
            <w:bookmarkEnd w:id="54"/>
            <w:bookmarkStart w:id="55" w:name="_Toc8922"/>
            <w:bookmarkEnd w:id="55"/>
            <w:bookmarkStart w:id="56" w:name="_Toc28104"/>
            <w:bookmarkStart w:id="57" w:name="_Toc19431"/>
            <w:bookmarkStart w:id="58" w:name="_Toc144887141"/>
            <w:bookmarkStart w:id="59" w:name="_Toc144880751"/>
            <w:r>
              <w:rPr>
                <w:rFonts w:hint="eastAsia"/>
                <w:color w:val="000000" w:themeColor="text1"/>
                <w:highlight w:val="none"/>
                <w14:textFill>
                  <w14:solidFill>
                    <w14:schemeClr w14:val="tx1"/>
                  </w14:solidFill>
                </w14:textFill>
              </w:rPr>
              <w:t>序号</w:t>
            </w:r>
            <w:bookmarkEnd w:id="56"/>
            <w:bookmarkEnd w:id="57"/>
            <w:bookmarkEnd w:id="58"/>
            <w:bookmarkEnd w:id="5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317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60" w:name="_Toc28298"/>
            <w:bookmarkEnd w:id="60"/>
            <w:bookmarkStart w:id="61" w:name="_Toc22828"/>
            <w:bookmarkEnd w:id="61"/>
            <w:bookmarkStart w:id="62" w:name="_Toc16337"/>
            <w:bookmarkEnd w:id="62"/>
            <w:bookmarkStart w:id="63" w:name="_Toc19712"/>
            <w:bookmarkEnd w:id="63"/>
            <w:bookmarkStart w:id="64" w:name="_Toc144887142"/>
            <w:bookmarkStart w:id="65" w:name="_Toc13627"/>
            <w:bookmarkStart w:id="66" w:name="_Toc144880752"/>
            <w:bookmarkStart w:id="67" w:name="_Toc3426"/>
            <w:r>
              <w:rPr>
                <w:rFonts w:hint="eastAsia"/>
                <w:color w:val="000000" w:themeColor="text1"/>
                <w:highlight w:val="none"/>
                <w14:textFill>
                  <w14:solidFill>
                    <w14:schemeClr w14:val="tx1"/>
                  </w14:solidFill>
                </w14:textFill>
              </w:rPr>
              <w:t>条款名称</w:t>
            </w:r>
            <w:bookmarkEnd w:id="64"/>
            <w:bookmarkEnd w:id="65"/>
            <w:bookmarkEnd w:id="66"/>
            <w:bookmarkEnd w:id="67"/>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E82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68" w:name="_Toc16212"/>
            <w:bookmarkEnd w:id="68"/>
            <w:bookmarkStart w:id="69" w:name="_Toc16822"/>
            <w:bookmarkEnd w:id="69"/>
            <w:bookmarkStart w:id="70" w:name="_Toc20910"/>
            <w:bookmarkEnd w:id="70"/>
            <w:bookmarkStart w:id="71" w:name="_Toc2438"/>
            <w:bookmarkEnd w:id="71"/>
            <w:bookmarkStart w:id="72" w:name="_Toc144880753"/>
            <w:bookmarkStart w:id="73" w:name="_Toc13517"/>
            <w:bookmarkStart w:id="74" w:name="_Toc11919"/>
            <w:bookmarkStart w:id="75" w:name="_Toc144887143"/>
            <w:r>
              <w:rPr>
                <w:rFonts w:hint="eastAsia"/>
                <w:color w:val="000000" w:themeColor="text1"/>
                <w:highlight w:val="none"/>
                <w14:textFill>
                  <w14:solidFill>
                    <w14:schemeClr w14:val="tx1"/>
                  </w14:solidFill>
                </w14:textFill>
              </w:rPr>
              <w:t>编列内容</w:t>
            </w:r>
            <w:bookmarkEnd w:id="72"/>
            <w:bookmarkEnd w:id="73"/>
            <w:bookmarkEnd w:id="74"/>
            <w:bookmarkEnd w:id="75"/>
          </w:p>
        </w:tc>
      </w:tr>
      <w:tr w14:paraId="2F119D6C">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5D6DE98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76" w:name="_Toc24684"/>
            <w:bookmarkStart w:id="77" w:name="_Toc144887144"/>
            <w:bookmarkStart w:id="78" w:name="_Toc20988"/>
            <w:bookmarkStart w:id="79" w:name="_Toc144880754"/>
            <w:r>
              <w:rPr>
                <w:rFonts w:hint="eastAsia"/>
                <w:color w:val="000000" w:themeColor="text1"/>
                <w:highlight w:val="none"/>
                <w14:textFill>
                  <w14:solidFill>
                    <w14:schemeClr w14:val="tx1"/>
                  </w14:solidFill>
                </w14:textFill>
              </w:rPr>
              <w:t>1</w:t>
            </w:r>
            <w:bookmarkEnd w:id="76"/>
            <w:bookmarkEnd w:id="77"/>
            <w:bookmarkEnd w:id="78"/>
            <w:bookmarkEnd w:id="7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87A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80" w:name="_Toc31619"/>
            <w:bookmarkEnd w:id="80"/>
            <w:bookmarkStart w:id="81" w:name="_Toc20041"/>
            <w:bookmarkEnd w:id="81"/>
            <w:bookmarkStart w:id="82" w:name="_Toc8868"/>
            <w:bookmarkEnd w:id="82"/>
            <w:bookmarkStart w:id="83" w:name="_Toc15349"/>
            <w:bookmarkEnd w:id="83"/>
            <w:bookmarkStart w:id="84" w:name="_Toc32296"/>
            <w:bookmarkStart w:id="85" w:name="_Toc144887145"/>
            <w:bookmarkStart w:id="86" w:name="_Toc9422"/>
            <w:bookmarkStart w:id="87" w:name="_Toc144880755"/>
            <w:r>
              <w:rPr>
                <w:rFonts w:hint="eastAsia"/>
                <w:color w:val="000000" w:themeColor="text1"/>
                <w:highlight w:val="none"/>
                <w14:textFill>
                  <w14:solidFill>
                    <w14:schemeClr w14:val="tx1"/>
                  </w14:solidFill>
                </w14:textFill>
              </w:rPr>
              <w:t>采购人</w:t>
            </w:r>
            <w:bookmarkEnd w:id="84"/>
            <w:bookmarkEnd w:id="85"/>
            <w:bookmarkEnd w:id="86"/>
            <w:bookmarkEnd w:id="87"/>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AC3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名  称：</w:t>
            </w:r>
            <w:r>
              <w:rPr>
                <w:rFonts w:hint="eastAsia"/>
                <w:color w:val="000000" w:themeColor="text1"/>
                <w:highlight w:val="none"/>
                <w:lang w:eastAsia="zh-CN"/>
                <w14:textFill>
                  <w14:solidFill>
                    <w14:schemeClr w14:val="tx1"/>
                  </w14:solidFill>
                </w14:textFill>
              </w:rPr>
              <w:t>淮南市农业农村局</w:t>
            </w:r>
          </w:p>
          <w:p w14:paraId="54E70C6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88" w:name="_Toc144880756"/>
            <w:bookmarkStart w:id="89" w:name="_Toc144887146"/>
            <w:r>
              <w:rPr>
                <w:rFonts w:hint="eastAsia"/>
                <w:color w:val="000000" w:themeColor="text1"/>
                <w:highlight w:val="none"/>
                <w14:textFill>
                  <w14:solidFill>
                    <w14:schemeClr w14:val="tx1"/>
                  </w14:solidFill>
                </w14:textFill>
              </w:rPr>
              <w:t>地  址：</w:t>
            </w:r>
            <w:bookmarkEnd w:id="88"/>
            <w:bookmarkEnd w:id="89"/>
            <w:r>
              <w:rPr>
                <w:rFonts w:hint="eastAsia"/>
                <w:color w:val="000000" w:themeColor="text1"/>
                <w:highlight w:val="none"/>
                <w14:textFill>
                  <w14:solidFill>
                    <w14:schemeClr w14:val="tx1"/>
                  </w14:solidFill>
                </w14:textFill>
              </w:rPr>
              <w:t>淮南市政务中心A座</w:t>
            </w:r>
          </w:p>
        </w:tc>
      </w:tr>
      <w:tr w14:paraId="55CCB7B6">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B2AE33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90" w:name="_Toc8739"/>
            <w:bookmarkStart w:id="91" w:name="_Toc10297"/>
            <w:bookmarkStart w:id="92" w:name="_Toc144880758"/>
            <w:bookmarkStart w:id="93" w:name="_Toc144887148"/>
            <w:r>
              <w:rPr>
                <w:rFonts w:hint="eastAsia"/>
                <w:color w:val="000000" w:themeColor="text1"/>
                <w:highlight w:val="none"/>
                <w14:textFill>
                  <w14:solidFill>
                    <w14:schemeClr w14:val="tx1"/>
                  </w14:solidFill>
                </w14:textFill>
              </w:rPr>
              <w:t>2</w:t>
            </w:r>
            <w:bookmarkEnd w:id="90"/>
            <w:bookmarkEnd w:id="91"/>
            <w:bookmarkEnd w:id="92"/>
            <w:bookmarkEnd w:id="93"/>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5B9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94" w:name="_Toc10962"/>
            <w:bookmarkEnd w:id="94"/>
            <w:bookmarkStart w:id="95" w:name="_Toc27053"/>
            <w:bookmarkEnd w:id="95"/>
            <w:bookmarkStart w:id="96" w:name="_Toc12200"/>
            <w:bookmarkEnd w:id="96"/>
            <w:bookmarkStart w:id="97" w:name="_Toc30148"/>
            <w:bookmarkEnd w:id="97"/>
            <w:bookmarkStart w:id="98" w:name="_Toc144887149"/>
            <w:bookmarkStart w:id="99" w:name="_Toc17363"/>
            <w:bookmarkStart w:id="100" w:name="_Toc2169"/>
            <w:bookmarkStart w:id="101" w:name="_Toc144880759"/>
            <w:r>
              <w:rPr>
                <w:rFonts w:hint="eastAsia"/>
                <w:color w:val="000000" w:themeColor="text1"/>
                <w:highlight w:val="none"/>
                <w14:textFill>
                  <w14:solidFill>
                    <w14:schemeClr w14:val="tx1"/>
                  </w14:solidFill>
                </w14:textFill>
              </w:rPr>
              <w:t>采购代理机构</w:t>
            </w:r>
            <w:bookmarkEnd w:id="98"/>
            <w:bookmarkEnd w:id="99"/>
            <w:bookmarkEnd w:id="100"/>
            <w:bookmarkEnd w:id="101"/>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B50">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称：安徽聚信工程项目管理有限公司</w:t>
            </w:r>
          </w:p>
          <w:p w14:paraId="3907E87B">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址：西湖春天西门34号商铺204</w:t>
            </w:r>
          </w:p>
        </w:tc>
      </w:tr>
      <w:tr w14:paraId="19A467D8">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1461E8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02" w:name="_Toc2155"/>
            <w:bookmarkStart w:id="103" w:name="_Toc19923"/>
            <w:bookmarkStart w:id="104" w:name="_Toc144880760"/>
            <w:bookmarkStart w:id="105" w:name="_Toc144887150"/>
            <w:r>
              <w:rPr>
                <w:rFonts w:hint="eastAsia"/>
                <w:color w:val="000000" w:themeColor="text1"/>
                <w:highlight w:val="none"/>
                <w14:textFill>
                  <w14:solidFill>
                    <w14:schemeClr w14:val="tx1"/>
                  </w14:solidFill>
                </w14:textFill>
              </w:rPr>
              <w:t>3</w:t>
            </w:r>
            <w:bookmarkEnd w:id="102"/>
            <w:bookmarkEnd w:id="103"/>
            <w:bookmarkEnd w:id="104"/>
            <w:bookmarkEnd w:id="105"/>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D48C">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06" w:name="_Toc21366"/>
            <w:bookmarkEnd w:id="106"/>
            <w:bookmarkStart w:id="107" w:name="_Toc20465"/>
            <w:bookmarkEnd w:id="107"/>
            <w:bookmarkStart w:id="108" w:name="_Toc26767"/>
            <w:bookmarkEnd w:id="108"/>
            <w:bookmarkStart w:id="109" w:name="_Toc26365"/>
            <w:bookmarkEnd w:id="109"/>
            <w:bookmarkStart w:id="110" w:name="_Toc9742"/>
            <w:bookmarkEnd w:id="110"/>
            <w:bookmarkStart w:id="111" w:name="_Toc19303"/>
            <w:bookmarkEnd w:id="111"/>
            <w:bookmarkStart w:id="112" w:name="_Toc11115"/>
            <w:bookmarkEnd w:id="112"/>
            <w:bookmarkStart w:id="113" w:name="_Toc31403"/>
            <w:bookmarkEnd w:id="113"/>
            <w:bookmarkStart w:id="114" w:name="_Toc144887151"/>
            <w:bookmarkStart w:id="115" w:name="_Toc144880761"/>
            <w:bookmarkStart w:id="116" w:name="_Toc6560"/>
            <w:bookmarkStart w:id="117" w:name="_Toc1829"/>
            <w:r>
              <w:rPr>
                <w:rFonts w:hint="eastAsia"/>
                <w:color w:val="000000" w:themeColor="text1"/>
                <w:highlight w:val="none"/>
                <w14:textFill>
                  <w14:solidFill>
                    <w14:schemeClr w14:val="tx1"/>
                  </w14:solidFill>
                </w14:textFill>
              </w:rPr>
              <w:t>项目名称</w:t>
            </w:r>
            <w:bookmarkEnd w:id="114"/>
            <w:bookmarkEnd w:id="115"/>
            <w:bookmarkEnd w:id="116"/>
            <w:bookmarkEnd w:id="117"/>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C73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淮南市2024年度高标准农田建设项目第三方验收服务</w:t>
            </w:r>
          </w:p>
        </w:tc>
      </w:tr>
      <w:tr w14:paraId="58F3F17E">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6D69102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18" w:name="_Toc19459"/>
            <w:bookmarkStart w:id="119" w:name="_Toc30009"/>
            <w:bookmarkStart w:id="120" w:name="_Toc144887152"/>
            <w:bookmarkStart w:id="121" w:name="_Toc144880762"/>
            <w:r>
              <w:rPr>
                <w:rFonts w:hint="eastAsia"/>
                <w:color w:val="000000" w:themeColor="text1"/>
                <w:highlight w:val="none"/>
                <w14:textFill>
                  <w14:solidFill>
                    <w14:schemeClr w14:val="tx1"/>
                  </w14:solidFill>
                </w14:textFill>
              </w:rPr>
              <w:t>4</w:t>
            </w:r>
            <w:bookmarkEnd w:id="118"/>
            <w:bookmarkEnd w:id="119"/>
            <w:bookmarkEnd w:id="120"/>
            <w:bookmarkEnd w:id="121"/>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FE78">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22" w:name="_Toc13522"/>
            <w:bookmarkEnd w:id="122"/>
            <w:bookmarkStart w:id="123" w:name="_Toc2984"/>
            <w:bookmarkEnd w:id="123"/>
            <w:bookmarkStart w:id="124" w:name="_Toc12389"/>
            <w:bookmarkEnd w:id="124"/>
            <w:bookmarkStart w:id="125" w:name="_Toc3798"/>
            <w:bookmarkEnd w:id="125"/>
            <w:r>
              <w:rPr>
                <w:rFonts w:hint="eastAsia"/>
                <w:color w:val="000000" w:themeColor="text1"/>
                <w:highlight w:val="none"/>
                <w14:textFill>
                  <w14:solidFill>
                    <w14:schemeClr w14:val="tx1"/>
                  </w14:solidFill>
                </w14:textFill>
              </w:rPr>
              <w:t>标段划分</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6E4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不分包</w:t>
            </w:r>
          </w:p>
          <w:p w14:paraId="083366D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□分为xx个包</w:t>
            </w:r>
          </w:p>
          <w:p w14:paraId="56BE2810">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供应商参加多个包谈判的成交包数规定：</w:t>
            </w:r>
          </w:p>
        </w:tc>
      </w:tr>
      <w:tr w14:paraId="02FF633F">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2117BC7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26" w:name="_Toc144880763"/>
            <w:bookmarkStart w:id="127" w:name="_Toc144887153"/>
            <w:r>
              <w:rPr>
                <w:rFonts w:hint="eastAsia"/>
                <w:color w:val="000000" w:themeColor="text1"/>
                <w:highlight w:val="none"/>
                <w14:textFill>
                  <w14:solidFill>
                    <w14:schemeClr w14:val="tx1"/>
                  </w14:solidFill>
                </w14:textFill>
              </w:rPr>
              <w:t>5</w:t>
            </w:r>
            <w:bookmarkEnd w:id="126"/>
            <w:bookmarkEnd w:id="127"/>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6D6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是否为专门面向中小企业采购</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9AB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是 □否</w:t>
            </w:r>
          </w:p>
        </w:tc>
      </w:tr>
      <w:tr w14:paraId="497EB60F">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790B5C9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28" w:name="_Toc144880764"/>
            <w:bookmarkStart w:id="129" w:name="_Toc144887154"/>
            <w:r>
              <w:rPr>
                <w:rFonts w:hint="eastAsia"/>
                <w:color w:val="000000" w:themeColor="text1"/>
                <w:highlight w:val="none"/>
                <w14:textFill>
                  <w14:solidFill>
                    <w14:schemeClr w14:val="tx1"/>
                  </w14:solidFill>
                </w14:textFill>
              </w:rPr>
              <w:t>6</w:t>
            </w:r>
            <w:bookmarkEnd w:id="128"/>
            <w:bookmarkEnd w:id="12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461C">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是否允许联合体参加谈判</w:t>
            </w:r>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D4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是 </w:t>
            </w: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否</w:t>
            </w:r>
          </w:p>
        </w:tc>
      </w:tr>
      <w:tr w14:paraId="75D31B65">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D0D8858">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30" w:name="_Toc144887155"/>
            <w:bookmarkStart w:id="131" w:name="_Toc144880765"/>
            <w:r>
              <w:rPr>
                <w:rFonts w:hint="eastAsia"/>
                <w:color w:val="000000" w:themeColor="text1"/>
                <w:highlight w:val="none"/>
                <w14:textFill>
                  <w14:solidFill>
                    <w14:schemeClr w14:val="tx1"/>
                  </w14:solidFill>
                </w14:textFill>
              </w:rPr>
              <w:t>7</w:t>
            </w:r>
            <w:bookmarkEnd w:id="130"/>
            <w:bookmarkEnd w:id="131"/>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8C4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32" w:name="_Toc447"/>
            <w:bookmarkEnd w:id="132"/>
            <w:bookmarkStart w:id="133" w:name="_Toc17299"/>
            <w:bookmarkEnd w:id="133"/>
            <w:bookmarkStart w:id="134" w:name="_Toc24367"/>
            <w:bookmarkEnd w:id="134"/>
            <w:bookmarkStart w:id="135" w:name="_Toc26661"/>
            <w:bookmarkEnd w:id="135"/>
            <w:bookmarkStart w:id="136" w:name="_Toc13829"/>
            <w:bookmarkEnd w:id="136"/>
            <w:bookmarkStart w:id="137" w:name="_Toc27986"/>
            <w:bookmarkEnd w:id="137"/>
            <w:bookmarkStart w:id="138" w:name="_Toc27407"/>
            <w:bookmarkEnd w:id="138"/>
            <w:bookmarkStart w:id="139" w:name="_Toc10556"/>
            <w:bookmarkEnd w:id="139"/>
            <w:bookmarkStart w:id="140" w:name="_Toc31787"/>
            <w:bookmarkStart w:id="141" w:name="_Toc144887156"/>
            <w:bookmarkStart w:id="142" w:name="_Toc144880766"/>
            <w:bookmarkStart w:id="143" w:name="_Toc25500"/>
            <w:r>
              <w:rPr>
                <w:rFonts w:hint="eastAsia"/>
                <w:color w:val="000000" w:themeColor="text1"/>
                <w:highlight w:val="none"/>
                <w14:textFill>
                  <w14:solidFill>
                    <w14:schemeClr w14:val="tx1"/>
                  </w14:solidFill>
                </w14:textFill>
              </w:rPr>
              <w:t>资金来源</w:t>
            </w:r>
            <w:bookmarkEnd w:id="140"/>
            <w:bookmarkEnd w:id="141"/>
            <w:bookmarkEnd w:id="142"/>
            <w:bookmarkEnd w:id="143"/>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2A29">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144" w:name="_Toc13876"/>
            <w:bookmarkEnd w:id="144"/>
            <w:bookmarkStart w:id="145" w:name="_Toc981"/>
            <w:bookmarkEnd w:id="145"/>
            <w:bookmarkStart w:id="146" w:name="_Toc18480"/>
            <w:bookmarkEnd w:id="146"/>
            <w:bookmarkStart w:id="147" w:name="_Toc8464"/>
            <w:bookmarkEnd w:id="147"/>
            <w:bookmarkStart w:id="148" w:name="_Toc29513"/>
            <w:bookmarkStart w:id="149" w:name="_Toc21922"/>
            <w:bookmarkStart w:id="150" w:name="_Toc144887157"/>
            <w:bookmarkStart w:id="151" w:name="_Toc144880767"/>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财政资金</w:t>
            </w:r>
            <w:bookmarkEnd w:id="148"/>
            <w:bookmarkEnd w:id="149"/>
            <w:r>
              <w:rPr>
                <w:rFonts w:hint="eastAsia"/>
                <w:color w:val="000000" w:themeColor="text1"/>
                <w:highlight w:val="none"/>
                <w14:textFill>
                  <w14:solidFill>
                    <w14:schemeClr w14:val="tx1"/>
                  </w14:solidFill>
                </w14:textFill>
              </w:rPr>
              <w:t xml:space="preserve">  □预采购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□其他资金</w:t>
            </w:r>
            <w:bookmarkEnd w:id="150"/>
            <w:bookmarkEnd w:id="151"/>
          </w:p>
        </w:tc>
      </w:tr>
      <w:tr w14:paraId="3B8A5DBF">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5EBCA54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52" w:name="_Toc144887158"/>
            <w:bookmarkStart w:id="153" w:name="_Toc144880768"/>
            <w:r>
              <w:rPr>
                <w:rFonts w:hint="eastAsia"/>
                <w:color w:val="000000" w:themeColor="text1"/>
                <w:highlight w:val="none"/>
                <w14:textFill>
                  <w14:solidFill>
                    <w14:schemeClr w14:val="tx1"/>
                  </w14:solidFill>
                </w14:textFill>
              </w:rPr>
              <w:t>8</w:t>
            </w:r>
            <w:bookmarkEnd w:id="152"/>
            <w:bookmarkEnd w:id="153"/>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76A">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54" w:name="_Toc2735"/>
            <w:bookmarkEnd w:id="154"/>
            <w:bookmarkStart w:id="155" w:name="_Toc24807"/>
            <w:bookmarkEnd w:id="155"/>
            <w:bookmarkStart w:id="156" w:name="_Toc1343"/>
            <w:bookmarkEnd w:id="156"/>
            <w:bookmarkStart w:id="157" w:name="_Toc15071"/>
            <w:bookmarkEnd w:id="157"/>
            <w:bookmarkStart w:id="158" w:name="_Toc21061"/>
            <w:bookmarkEnd w:id="158"/>
            <w:bookmarkStart w:id="159" w:name="_Toc12049"/>
            <w:bookmarkEnd w:id="159"/>
            <w:bookmarkStart w:id="160" w:name="_Toc8929"/>
            <w:bookmarkEnd w:id="160"/>
            <w:bookmarkStart w:id="161" w:name="_Toc18419"/>
            <w:bookmarkEnd w:id="161"/>
            <w:bookmarkStart w:id="162" w:name="_Toc4528"/>
            <w:bookmarkEnd w:id="162"/>
            <w:bookmarkStart w:id="163" w:name="_Toc25714"/>
            <w:bookmarkEnd w:id="163"/>
            <w:bookmarkStart w:id="164" w:name="_Toc9388"/>
            <w:bookmarkEnd w:id="164"/>
            <w:bookmarkStart w:id="165" w:name="_Toc32670"/>
            <w:bookmarkEnd w:id="165"/>
            <w:bookmarkStart w:id="166" w:name="_Toc144880769"/>
            <w:bookmarkStart w:id="167" w:name="_Toc9402"/>
            <w:bookmarkStart w:id="168" w:name="_Toc144887159"/>
            <w:bookmarkStart w:id="169" w:name="_Toc172"/>
            <w:r>
              <w:rPr>
                <w:rFonts w:hint="eastAsia"/>
                <w:color w:val="000000" w:themeColor="text1"/>
                <w:highlight w:val="none"/>
                <w14:textFill>
                  <w14:solidFill>
                    <w14:schemeClr w14:val="tx1"/>
                  </w14:solidFill>
                </w14:textFill>
              </w:rPr>
              <w:t>采购范围</w:t>
            </w:r>
            <w:bookmarkEnd w:id="166"/>
            <w:bookmarkEnd w:id="167"/>
            <w:bookmarkEnd w:id="168"/>
            <w:bookmarkEnd w:id="169"/>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01B">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170" w:name="_Toc30579"/>
            <w:bookmarkEnd w:id="170"/>
            <w:bookmarkStart w:id="171" w:name="_Toc14235"/>
            <w:bookmarkEnd w:id="171"/>
            <w:bookmarkStart w:id="172" w:name="_Toc12454"/>
            <w:bookmarkEnd w:id="172"/>
            <w:bookmarkStart w:id="173" w:name="_Toc32573"/>
            <w:bookmarkEnd w:id="173"/>
            <w:bookmarkStart w:id="174" w:name="_Toc8206"/>
            <w:bookmarkStart w:id="175" w:name="_Toc144887160"/>
            <w:bookmarkStart w:id="176" w:name="_Toc144880770"/>
            <w:bookmarkStart w:id="177" w:name="_Toc7567"/>
            <w:r>
              <w:rPr>
                <w:rFonts w:hint="eastAsia"/>
                <w:color w:val="000000" w:themeColor="text1"/>
                <w:highlight w:val="none"/>
                <w14:textFill>
                  <w14:solidFill>
                    <w14:schemeClr w14:val="tx1"/>
                  </w14:solidFill>
                </w14:textFill>
              </w:rPr>
              <w:t>详见采购需求答疑文件等全部内容</w:t>
            </w:r>
            <w:bookmarkEnd w:id="174"/>
            <w:bookmarkEnd w:id="175"/>
            <w:bookmarkEnd w:id="176"/>
            <w:bookmarkEnd w:id="177"/>
          </w:p>
        </w:tc>
      </w:tr>
      <w:tr w14:paraId="54D718F2">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37DBD06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78" w:name="_Toc144887161"/>
            <w:bookmarkStart w:id="179" w:name="_Toc144880771"/>
            <w:r>
              <w:rPr>
                <w:rFonts w:hint="eastAsia"/>
                <w:color w:val="000000" w:themeColor="text1"/>
                <w:highlight w:val="none"/>
                <w14:textFill>
                  <w14:solidFill>
                    <w14:schemeClr w14:val="tx1"/>
                  </w14:solidFill>
                </w14:textFill>
              </w:rPr>
              <w:t>9</w:t>
            </w:r>
            <w:bookmarkEnd w:id="178"/>
            <w:bookmarkEnd w:id="17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030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80" w:name="_Toc3121"/>
            <w:bookmarkEnd w:id="180"/>
            <w:bookmarkStart w:id="181" w:name="_Toc28478"/>
            <w:bookmarkEnd w:id="181"/>
            <w:bookmarkStart w:id="182" w:name="_Toc3488"/>
            <w:bookmarkEnd w:id="182"/>
            <w:bookmarkStart w:id="183" w:name="_Toc18840"/>
            <w:bookmarkEnd w:id="183"/>
            <w:bookmarkStart w:id="184" w:name="_Toc21015"/>
            <w:bookmarkEnd w:id="184"/>
            <w:bookmarkStart w:id="185" w:name="_Toc18320"/>
            <w:bookmarkEnd w:id="185"/>
            <w:bookmarkStart w:id="186" w:name="_Toc20382"/>
            <w:bookmarkEnd w:id="186"/>
            <w:bookmarkStart w:id="187" w:name="_Toc15433"/>
            <w:bookmarkEnd w:id="187"/>
            <w:bookmarkStart w:id="188" w:name="_Toc28390"/>
            <w:bookmarkStart w:id="189" w:name="_Toc26350"/>
            <w:bookmarkStart w:id="190" w:name="_Toc144880772"/>
            <w:bookmarkStart w:id="191" w:name="_Toc144887162"/>
            <w:r>
              <w:rPr>
                <w:rFonts w:hint="eastAsia"/>
                <w:color w:val="000000" w:themeColor="text1"/>
                <w:highlight w:val="none"/>
                <w14:textFill>
                  <w14:solidFill>
                    <w14:schemeClr w14:val="tx1"/>
                  </w14:solidFill>
                </w14:textFill>
              </w:rPr>
              <w:t>报价要求</w:t>
            </w:r>
            <w:bookmarkEnd w:id="188"/>
            <w:bookmarkEnd w:id="189"/>
            <w:bookmarkEnd w:id="190"/>
            <w:bookmarkEnd w:id="191"/>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24D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报价唯一，且不超过最高投标限价。供应商的报价应包含所投服务所发生的一切应有费用。投标报价为签订合同的依据，供应商进行投标报价时，应充分考虑市场风险、项目周期等因素，一旦中标将不予以调整。</w:t>
            </w:r>
          </w:p>
        </w:tc>
      </w:tr>
      <w:tr w14:paraId="2EC48C91">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6D69163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92" w:name="_Toc144880773"/>
            <w:bookmarkStart w:id="193" w:name="_Toc144887163"/>
            <w:r>
              <w:rPr>
                <w:rFonts w:hint="eastAsia"/>
                <w:color w:val="000000" w:themeColor="text1"/>
                <w:highlight w:val="none"/>
                <w14:textFill>
                  <w14:solidFill>
                    <w14:schemeClr w14:val="tx1"/>
                  </w14:solidFill>
                </w14:textFill>
              </w:rPr>
              <w:t>10</w:t>
            </w:r>
            <w:bookmarkEnd w:id="192"/>
            <w:bookmarkEnd w:id="193"/>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7A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194" w:name="_Toc7315"/>
            <w:bookmarkEnd w:id="194"/>
            <w:bookmarkStart w:id="195" w:name="_Toc7418"/>
            <w:bookmarkEnd w:id="195"/>
            <w:bookmarkStart w:id="196" w:name="_Toc144887164"/>
            <w:bookmarkStart w:id="197" w:name="_Toc144880774"/>
            <w:bookmarkStart w:id="198" w:name="_Toc19443"/>
            <w:bookmarkStart w:id="199" w:name="_Toc27335"/>
            <w:r>
              <w:rPr>
                <w:rFonts w:hint="eastAsia"/>
                <w:color w:val="000000" w:themeColor="text1"/>
                <w:highlight w:val="none"/>
                <w14:textFill>
                  <w14:solidFill>
                    <w14:schemeClr w14:val="tx1"/>
                  </w14:solidFill>
                </w14:textFill>
              </w:rPr>
              <w:t>合同履行期限</w:t>
            </w:r>
            <w:bookmarkEnd w:id="196"/>
            <w:bookmarkEnd w:id="197"/>
            <w:bookmarkEnd w:id="198"/>
            <w:bookmarkEnd w:id="199"/>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D66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9月底前全面完成市级验收</w:t>
            </w:r>
          </w:p>
        </w:tc>
      </w:tr>
      <w:tr w14:paraId="5E7FB2A1">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226C22A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00" w:name="_Toc144887165"/>
            <w:bookmarkStart w:id="201" w:name="_Toc144880775"/>
            <w:r>
              <w:rPr>
                <w:rFonts w:hint="eastAsia"/>
                <w:color w:val="000000" w:themeColor="text1"/>
                <w:highlight w:val="none"/>
                <w14:textFill>
                  <w14:solidFill>
                    <w14:schemeClr w14:val="tx1"/>
                  </w14:solidFill>
                </w14:textFill>
              </w:rPr>
              <w:t>11</w:t>
            </w:r>
            <w:bookmarkEnd w:id="200"/>
            <w:bookmarkEnd w:id="201"/>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4C3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02" w:name="_Toc25390"/>
            <w:bookmarkEnd w:id="202"/>
            <w:bookmarkStart w:id="203" w:name="_Toc144880776"/>
            <w:bookmarkStart w:id="204" w:name="_Toc144887166"/>
            <w:bookmarkStart w:id="205" w:name="_Toc24297"/>
            <w:bookmarkStart w:id="206" w:name="_Toc12993"/>
            <w:r>
              <w:rPr>
                <w:rFonts w:hint="eastAsia"/>
                <w:color w:val="000000" w:themeColor="text1"/>
                <w:highlight w:val="none"/>
                <w14:textFill>
                  <w14:solidFill>
                    <w14:schemeClr w14:val="tx1"/>
                  </w14:solidFill>
                </w14:textFill>
              </w:rPr>
              <w:t>供应商资质条件</w:t>
            </w:r>
            <w:bookmarkEnd w:id="203"/>
            <w:bookmarkEnd w:id="204"/>
            <w:bookmarkEnd w:id="205"/>
            <w:bookmarkEnd w:id="206"/>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0A3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07" w:name="_Toc29692"/>
            <w:bookmarkEnd w:id="207"/>
            <w:r>
              <w:rPr>
                <w:rFonts w:hint="eastAsia"/>
                <w:color w:val="000000" w:themeColor="text1"/>
                <w:highlight w:val="none"/>
                <w:lang w:eastAsia="zh-CN"/>
                <w14:textFill>
                  <w14:solidFill>
                    <w14:schemeClr w14:val="tx1"/>
                  </w14:solidFill>
                </w14:textFill>
              </w:rPr>
              <w:t>见采购公告</w:t>
            </w:r>
          </w:p>
        </w:tc>
      </w:tr>
      <w:tr w14:paraId="0EEDE656">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7084AE4E">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08" w:name="_Toc144887167"/>
            <w:bookmarkStart w:id="209" w:name="_Toc144880777"/>
            <w:r>
              <w:rPr>
                <w:rFonts w:hint="eastAsia"/>
                <w:color w:val="000000" w:themeColor="text1"/>
                <w:highlight w:val="none"/>
                <w14:textFill>
                  <w14:solidFill>
                    <w14:schemeClr w14:val="tx1"/>
                  </w14:solidFill>
                </w14:textFill>
              </w:rPr>
              <w:t>12</w:t>
            </w:r>
            <w:bookmarkEnd w:id="208"/>
            <w:bookmarkEnd w:id="20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488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10" w:name="_Toc32544"/>
            <w:bookmarkEnd w:id="210"/>
            <w:bookmarkStart w:id="211" w:name="_Toc21946"/>
            <w:bookmarkStart w:id="212" w:name="_Toc12253"/>
            <w:bookmarkStart w:id="213" w:name="_Toc144887168"/>
            <w:bookmarkStart w:id="214" w:name="_Toc144880778"/>
            <w:r>
              <w:rPr>
                <w:rFonts w:hint="eastAsia"/>
                <w:color w:val="000000" w:themeColor="text1"/>
                <w:highlight w:val="none"/>
                <w14:textFill>
                  <w14:solidFill>
                    <w14:schemeClr w14:val="tx1"/>
                  </w14:solidFill>
                </w14:textFill>
              </w:rPr>
              <w:t>踏勘现场</w:t>
            </w:r>
            <w:bookmarkEnd w:id="211"/>
            <w:bookmarkEnd w:id="212"/>
            <w:bookmarkEnd w:id="213"/>
            <w:bookmarkEnd w:id="214"/>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12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15" w:name="_Toc8346"/>
            <w:bookmarkEnd w:id="215"/>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不组织，供应商自行考察  □统一组织</w:t>
            </w:r>
          </w:p>
        </w:tc>
      </w:tr>
      <w:tr w14:paraId="4D7291D1">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7901D28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16" w:name="_Toc144880785"/>
            <w:bookmarkStart w:id="217" w:name="_Toc144887175"/>
            <w:r>
              <w:rPr>
                <w:rFonts w:hint="eastAsia"/>
                <w:color w:val="000000" w:themeColor="text1"/>
                <w:highlight w:val="none"/>
                <w14:textFill>
                  <w14:solidFill>
                    <w14:schemeClr w14:val="tx1"/>
                  </w14:solidFill>
                </w14:textFill>
              </w:rPr>
              <w:t>13</w:t>
            </w:r>
            <w:bookmarkEnd w:id="216"/>
            <w:bookmarkEnd w:id="217"/>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5C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18" w:name="_Toc29045"/>
            <w:bookmarkEnd w:id="218"/>
            <w:bookmarkStart w:id="219" w:name="_Toc4877"/>
            <w:bookmarkStart w:id="220" w:name="_Toc144880786"/>
            <w:bookmarkStart w:id="221" w:name="_Toc9594"/>
            <w:bookmarkStart w:id="222" w:name="_Toc144887176"/>
            <w:r>
              <w:rPr>
                <w:rFonts w:hint="eastAsia"/>
                <w:color w:val="000000" w:themeColor="text1"/>
                <w:highlight w:val="none"/>
                <w14:textFill>
                  <w14:solidFill>
                    <w14:schemeClr w14:val="tx1"/>
                  </w14:solidFill>
                </w14:textFill>
              </w:rPr>
              <w:t>谈判预备会</w:t>
            </w:r>
            <w:bookmarkEnd w:id="219"/>
            <w:bookmarkEnd w:id="220"/>
            <w:bookmarkEnd w:id="221"/>
            <w:bookmarkEnd w:id="222"/>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9F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23" w:name="_Toc11268"/>
            <w:bookmarkEnd w:id="223"/>
            <w:bookmarkStart w:id="224" w:name="_Toc14514"/>
            <w:bookmarkStart w:id="225" w:name="_Toc144880787"/>
            <w:bookmarkStart w:id="226" w:name="_Toc198"/>
            <w:bookmarkStart w:id="227" w:name="_Toc144887177"/>
            <w:r>
              <w:rPr>
                <w:rFonts w:hint="eastAsia"/>
                <w:color w:val="000000" w:themeColor="text1"/>
                <w:highlight w:val="none"/>
                <w14:textFill>
                  <w14:solidFill>
                    <w14:schemeClr w14:val="tx1"/>
                  </w14:solidFill>
                </w14:textFill>
              </w:rPr>
              <w:t xml:space="preserve">□召开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不召开</w:t>
            </w:r>
            <w:bookmarkEnd w:id="224"/>
            <w:bookmarkEnd w:id="225"/>
            <w:bookmarkEnd w:id="226"/>
            <w:bookmarkEnd w:id="227"/>
          </w:p>
        </w:tc>
      </w:tr>
      <w:tr w14:paraId="544F81EA">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E16FF0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28" w:name="_Toc144880788"/>
            <w:bookmarkStart w:id="229" w:name="_Toc144887178"/>
            <w:r>
              <w:rPr>
                <w:rFonts w:hint="eastAsia"/>
                <w:color w:val="000000" w:themeColor="text1"/>
                <w:highlight w:val="none"/>
                <w14:textFill>
                  <w14:solidFill>
                    <w14:schemeClr w14:val="tx1"/>
                  </w14:solidFill>
                </w14:textFill>
              </w:rPr>
              <w:t>14</w:t>
            </w:r>
            <w:bookmarkEnd w:id="228"/>
            <w:bookmarkEnd w:id="22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445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30" w:name="_Toc144880789"/>
            <w:bookmarkStart w:id="231" w:name="_Toc144887179"/>
            <w:r>
              <w:rPr>
                <w:rFonts w:hint="eastAsia"/>
                <w:color w:val="000000" w:themeColor="text1"/>
                <w:highlight w:val="none"/>
                <w14:textFill>
                  <w14:solidFill>
                    <w14:schemeClr w14:val="tx1"/>
                  </w14:solidFill>
                </w14:textFill>
              </w:rPr>
              <w:t>谈判有效期</w:t>
            </w:r>
            <w:bookmarkEnd w:id="230"/>
            <w:bookmarkEnd w:id="231"/>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81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32" w:name="_Toc144880790"/>
            <w:bookmarkStart w:id="233" w:name="_Toc144887180"/>
            <w:r>
              <w:rPr>
                <w:rFonts w:hint="eastAsia"/>
                <w:color w:val="000000" w:themeColor="text1"/>
                <w:highlight w:val="none"/>
                <w14:textFill>
                  <w14:solidFill>
                    <w14:schemeClr w14:val="tx1"/>
                  </w14:solidFill>
                </w14:textFill>
              </w:rPr>
              <w:t>从响应截止之日起</w:t>
            </w:r>
            <w:r>
              <w:rPr>
                <w:rFonts w:hint="eastAsia"/>
                <w:color w:val="000000" w:themeColor="text1"/>
                <w:highlight w:val="none"/>
                <w:lang w:val="en-US" w:eastAsia="zh-CN"/>
                <w14:textFill>
                  <w14:solidFill>
                    <w14:schemeClr w14:val="tx1"/>
                  </w14:solidFill>
                </w14:textFill>
              </w:rPr>
              <w:t>90</w:t>
            </w:r>
            <w:r>
              <w:rPr>
                <w:rFonts w:hint="eastAsia"/>
                <w:color w:val="000000" w:themeColor="text1"/>
                <w:highlight w:val="none"/>
                <w14:textFill>
                  <w14:solidFill>
                    <w14:schemeClr w14:val="tx1"/>
                  </w14:solidFill>
                </w14:textFill>
              </w:rPr>
              <w:t>日</w:t>
            </w:r>
            <w:bookmarkEnd w:id="232"/>
            <w:bookmarkEnd w:id="233"/>
          </w:p>
        </w:tc>
      </w:tr>
      <w:tr w14:paraId="67C8B0F0">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1B48B6F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34" w:name="_Toc144887181"/>
            <w:bookmarkStart w:id="235" w:name="_Toc144880791"/>
            <w:r>
              <w:rPr>
                <w:rFonts w:hint="eastAsia"/>
                <w:color w:val="000000" w:themeColor="text1"/>
                <w:highlight w:val="none"/>
                <w14:textFill>
                  <w14:solidFill>
                    <w14:schemeClr w14:val="tx1"/>
                  </w14:solidFill>
                </w14:textFill>
              </w:rPr>
              <w:t>15</w:t>
            </w:r>
            <w:bookmarkEnd w:id="234"/>
            <w:bookmarkEnd w:id="235"/>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A07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36" w:name="_Toc144880792"/>
            <w:bookmarkStart w:id="237" w:name="_Toc144887182"/>
            <w:r>
              <w:rPr>
                <w:rFonts w:hint="eastAsia"/>
                <w:color w:val="000000" w:themeColor="text1"/>
                <w:highlight w:val="none"/>
                <w14:textFill>
                  <w14:solidFill>
                    <w14:schemeClr w14:val="tx1"/>
                  </w14:solidFill>
                </w14:textFill>
              </w:rPr>
              <w:t>谈判保证金</w:t>
            </w:r>
            <w:bookmarkEnd w:id="236"/>
            <w:bookmarkEnd w:id="237"/>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EA9">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本项目免收谈判保证金</w:t>
            </w:r>
          </w:p>
        </w:tc>
      </w:tr>
      <w:tr w14:paraId="3BDF5AD4">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3FA94E3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38" w:name="_Toc144880793"/>
            <w:bookmarkStart w:id="239" w:name="_Toc144887183"/>
            <w:r>
              <w:rPr>
                <w:rFonts w:hint="eastAsia"/>
                <w:color w:val="000000" w:themeColor="text1"/>
                <w:highlight w:val="none"/>
                <w14:textFill>
                  <w14:solidFill>
                    <w14:schemeClr w14:val="tx1"/>
                  </w14:solidFill>
                </w14:textFill>
              </w:rPr>
              <w:t>16</w:t>
            </w:r>
            <w:bookmarkEnd w:id="238"/>
            <w:bookmarkEnd w:id="239"/>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1A6">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40" w:name="_Toc1456"/>
            <w:bookmarkEnd w:id="240"/>
            <w:bookmarkStart w:id="241" w:name="_Toc144887184"/>
            <w:bookmarkStart w:id="242" w:name="_Toc144880794"/>
            <w:bookmarkStart w:id="243" w:name="_Toc3755"/>
            <w:bookmarkStart w:id="244" w:name="_Toc15570"/>
            <w:r>
              <w:rPr>
                <w:rFonts w:hint="eastAsia"/>
                <w:color w:val="000000" w:themeColor="text1"/>
                <w:highlight w:val="none"/>
                <w14:textFill>
                  <w14:solidFill>
                    <w14:schemeClr w14:val="tx1"/>
                  </w14:solidFill>
                </w14:textFill>
              </w:rPr>
              <w:t>供应商提出问题的截止时间</w:t>
            </w:r>
            <w:bookmarkEnd w:id="241"/>
            <w:bookmarkEnd w:id="242"/>
            <w:bookmarkEnd w:id="243"/>
            <w:bookmarkEnd w:id="244"/>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969">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45" w:name="_Toc944"/>
            <w:bookmarkStart w:id="246" w:name="_Toc144880795"/>
            <w:bookmarkStart w:id="247" w:name="_Toc144887185"/>
            <w:bookmarkStart w:id="248" w:name="_Toc14149"/>
            <w:r>
              <w:rPr>
                <w:rFonts w:hint="eastAsia"/>
                <w:color w:val="000000" w:themeColor="text1"/>
                <w:highlight w:val="none"/>
                <w14:textFill>
                  <w14:solidFill>
                    <w14:schemeClr w14:val="tx1"/>
                  </w14:solidFill>
                </w14:textFill>
              </w:rPr>
              <w:t>响应截止时间前3个工作日</w:t>
            </w:r>
            <w:bookmarkEnd w:id="245"/>
            <w:bookmarkEnd w:id="246"/>
            <w:bookmarkEnd w:id="247"/>
            <w:bookmarkEnd w:id="248"/>
          </w:p>
        </w:tc>
      </w:tr>
      <w:tr w14:paraId="6F940AE4">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auto" w:sz="4" w:space="0"/>
              <w:right w:val="single" w:color="000000" w:sz="4" w:space="0"/>
            </w:tcBorders>
            <w:vAlign w:val="center"/>
          </w:tcPr>
          <w:p w14:paraId="56E2EF1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49" w:name="_Toc144887186"/>
            <w:bookmarkStart w:id="250" w:name="_Toc144880796"/>
            <w:r>
              <w:rPr>
                <w:rFonts w:hint="eastAsia"/>
                <w:color w:val="000000" w:themeColor="text1"/>
                <w:highlight w:val="none"/>
                <w14:textFill>
                  <w14:solidFill>
                    <w14:schemeClr w14:val="tx1"/>
                  </w14:solidFill>
                </w14:textFill>
              </w:rPr>
              <w:t>17</w:t>
            </w:r>
            <w:bookmarkEnd w:id="249"/>
            <w:bookmarkEnd w:id="250"/>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A1DEAC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51" w:name="_Toc27540"/>
            <w:bookmarkEnd w:id="251"/>
            <w:bookmarkStart w:id="252" w:name="_Toc144887187"/>
            <w:bookmarkStart w:id="253" w:name="_Toc144880797"/>
            <w:bookmarkStart w:id="254" w:name="_Toc18456"/>
            <w:bookmarkStart w:id="255" w:name="_Toc21657"/>
            <w:r>
              <w:rPr>
                <w:rFonts w:hint="eastAsia"/>
                <w:color w:val="000000" w:themeColor="text1"/>
                <w:highlight w:val="none"/>
                <w14:textFill>
                  <w14:solidFill>
                    <w14:schemeClr w14:val="tx1"/>
                  </w14:solidFill>
                </w14:textFill>
              </w:rPr>
              <w:t>供应商提出问题的方式</w:t>
            </w:r>
            <w:bookmarkEnd w:id="252"/>
            <w:bookmarkEnd w:id="253"/>
            <w:bookmarkEnd w:id="254"/>
            <w:bookmarkEnd w:id="255"/>
          </w:p>
        </w:tc>
        <w:tc>
          <w:tcPr>
            <w:tcW w:w="7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39ACDDF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56" w:name="_Toc25191"/>
            <w:bookmarkEnd w:id="256"/>
            <w:r>
              <w:rPr>
                <w:rFonts w:hint="eastAsia"/>
                <w:color w:val="000000" w:themeColor="text1"/>
                <w:highlight w:val="none"/>
                <w14:textFill>
                  <w14:solidFill>
                    <w14:schemeClr w14:val="tx1"/>
                  </w14:solidFill>
                </w14:textFill>
              </w:rPr>
              <w:t>投标供应商若对采购文件有任何疑问，应在响应截止时间前3个工作日以书面形式向采购人提出澄清要求。对在规定时间前收到的澄清答疑要求，招标代理机构均将以邮件的形式予以答复，投标人有义务自行查阅。</w:t>
            </w:r>
          </w:p>
        </w:tc>
      </w:tr>
      <w:tr w14:paraId="449CFEF7">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auto" w:sz="4" w:space="0"/>
              <w:right w:val="single" w:color="000000" w:sz="4" w:space="0"/>
            </w:tcBorders>
            <w:vAlign w:val="center"/>
          </w:tcPr>
          <w:p w14:paraId="1B74680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57" w:name="_Toc144880799"/>
            <w:bookmarkStart w:id="258" w:name="_Toc144887189"/>
            <w:r>
              <w:rPr>
                <w:rFonts w:hint="eastAsia"/>
                <w:color w:val="000000" w:themeColor="text1"/>
                <w:highlight w:val="none"/>
                <w14:textFill>
                  <w14:solidFill>
                    <w14:schemeClr w14:val="tx1"/>
                  </w14:solidFill>
                </w14:textFill>
              </w:rPr>
              <w:t>18</w:t>
            </w:r>
            <w:bookmarkEnd w:id="257"/>
            <w:bookmarkEnd w:id="258"/>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39B026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59" w:name="_Toc26828"/>
            <w:bookmarkStart w:id="260" w:name="_Toc144887190"/>
            <w:bookmarkStart w:id="261" w:name="_Toc144880800"/>
            <w:bookmarkStart w:id="262" w:name="_Toc29945"/>
            <w:r>
              <w:rPr>
                <w:rFonts w:hint="eastAsia"/>
                <w:color w:val="000000" w:themeColor="text1"/>
                <w:highlight w:val="none"/>
                <w14:textFill>
                  <w14:solidFill>
                    <w14:schemeClr w14:val="tx1"/>
                  </w14:solidFill>
                </w14:textFill>
              </w:rPr>
              <w:t>资格审查方式</w:t>
            </w:r>
            <w:bookmarkEnd w:id="259"/>
            <w:bookmarkEnd w:id="260"/>
            <w:bookmarkEnd w:id="261"/>
            <w:bookmarkEnd w:id="262"/>
          </w:p>
        </w:tc>
        <w:tc>
          <w:tcPr>
            <w:tcW w:w="7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16669D53">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63" w:name="_Toc9418"/>
            <w:bookmarkStart w:id="264" w:name="_Toc144887191"/>
            <w:bookmarkStart w:id="265" w:name="_Toc24863"/>
            <w:bookmarkStart w:id="266" w:name="_Toc144880801"/>
            <w:r>
              <w:rPr>
                <w:rFonts w:hint="eastAsia"/>
                <w:color w:val="000000" w:themeColor="text1"/>
                <w:highlight w:val="none"/>
                <w14:textFill>
                  <w14:solidFill>
                    <w14:schemeClr w14:val="tx1"/>
                  </w14:solidFill>
                </w14:textFill>
              </w:rPr>
              <w:t>资格后审</w:t>
            </w:r>
            <w:bookmarkEnd w:id="263"/>
            <w:bookmarkEnd w:id="264"/>
            <w:bookmarkEnd w:id="265"/>
            <w:bookmarkEnd w:id="266"/>
          </w:p>
        </w:tc>
      </w:tr>
      <w:tr w14:paraId="78D42B4C">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auto" w:sz="4" w:space="0"/>
              <w:right w:val="single" w:color="000000" w:sz="4" w:space="0"/>
            </w:tcBorders>
            <w:vAlign w:val="center"/>
          </w:tcPr>
          <w:p w14:paraId="0FF93FB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67" w:name="_Toc144880802"/>
            <w:bookmarkStart w:id="268" w:name="_Toc144887192"/>
            <w:r>
              <w:rPr>
                <w:rFonts w:hint="eastAsia"/>
                <w:color w:val="000000" w:themeColor="text1"/>
                <w:highlight w:val="none"/>
                <w14:textFill>
                  <w14:solidFill>
                    <w14:schemeClr w14:val="tx1"/>
                  </w14:solidFill>
                </w14:textFill>
              </w:rPr>
              <w:t>19</w:t>
            </w:r>
            <w:bookmarkEnd w:id="267"/>
            <w:bookmarkEnd w:id="268"/>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7FC9F1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投诉质疑和形式</w:t>
            </w:r>
          </w:p>
        </w:tc>
        <w:tc>
          <w:tcPr>
            <w:tcW w:w="7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3C625D6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响应供应商如对招投标事项有异议，应按国家相关法律规定以及淮南市公共资源交易监督管理局相关规定要求先向采购人或采购代理机构提出。</w:t>
            </w:r>
          </w:p>
          <w:p w14:paraId="7C0B73DB">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异议）符合《淮南市公共资源交易质疑处理暂行办法》（淮公管〔2016〕40号）文件规定。符合“谁质疑，谁举证”原则，事实清楚，主张明确，须提供确凿有力的证明材料或证据线索。不符合上述规定的不予受理。政府采购项目质疑投诉按照财政部94号令《政府采购质疑和投诉办法》规定程序办理；工程建设项目投诉按照《工程建设项目招标投标活动投诉处理办法》规定程序办理。</w:t>
            </w:r>
          </w:p>
          <w:p w14:paraId="44E5B6A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禁止虚假恶意投诉，对虚假恶意投诉的，视情节予以处罚。如无效投诉的给予记不良记录。</w:t>
            </w:r>
          </w:p>
        </w:tc>
      </w:tr>
      <w:tr w14:paraId="55DEF37F">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auto" w:sz="4" w:space="0"/>
              <w:bottom w:val="single" w:color="auto" w:sz="4" w:space="0"/>
              <w:right w:val="single" w:color="000000" w:sz="4" w:space="0"/>
            </w:tcBorders>
            <w:vAlign w:val="center"/>
          </w:tcPr>
          <w:p w14:paraId="2892A82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69" w:name="_Toc144887193"/>
            <w:bookmarkStart w:id="270" w:name="_Toc144880803"/>
            <w:r>
              <w:rPr>
                <w:rFonts w:hint="eastAsia"/>
                <w:color w:val="000000" w:themeColor="text1"/>
                <w:highlight w:val="none"/>
                <w14:textFill>
                  <w14:solidFill>
                    <w14:schemeClr w14:val="tx1"/>
                  </w14:solidFill>
                </w14:textFill>
              </w:rPr>
              <w:t>20</w:t>
            </w:r>
            <w:bookmarkEnd w:id="269"/>
            <w:bookmarkEnd w:id="270"/>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2CC6D72C">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71" w:name="_Toc25746"/>
            <w:bookmarkEnd w:id="271"/>
            <w:bookmarkStart w:id="272" w:name="_Toc144887194"/>
            <w:bookmarkStart w:id="273" w:name="_Toc26889"/>
            <w:bookmarkStart w:id="274" w:name="_Toc17004"/>
            <w:bookmarkStart w:id="275" w:name="_Toc144880804"/>
            <w:r>
              <w:rPr>
                <w:rFonts w:hint="eastAsia"/>
                <w:color w:val="000000" w:themeColor="text1"/>
                <w:highlight w:val="none"/>
                <w14:textFill>
                  <w14:solidFill>
                    <w14:schemeClr w14:val="tx1"/>
                  </w14:solidFill>
                </w14:textFill>
              </w:rPr>
              <w:t>疑问的答疑获取</w:t>
            </w:r>
            <w:bookmarkEnd w:id="272"/>
            <w:bookmarkEnd w:id="273"/>
            <w:bookmarkEnd w:id="274"/>
            <w:bookmarkEnd w:id="275"/>
          </w:p>
        </w:tc>
        <w:tc>
          <w:tcPr>
            <w:tcW w:w="7794" w:type="dxa"/>
            <w:tcBorders>
              <w:top w:val="single" w:color="auto" w:sz="4" w:space="0"/>
              <w:left w:val="single" w:color="000000" w:sz="4" w:space="0"/>
              <w:bottom w:val="single" w:color="auto" w:sz="4" w:space="0"/>
              <w:right w:val="single" w:color="auto" w:sz="4" w:space="0"/>
            </w:tcBorders>
            <w:shd w:val="clear" w:color="auto" w:fill="auto"/>
            <w:vAlign w:val="center"/>
          </w:tcPr>
          <w:p w14:paraId="290529F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76" w:name="_Toc12358"/>
            <w:bookmarkEnd w:id="276"/>
            <w:r>
              <w:rPr>
                <w:rFonts w:hint="eastAsia"/>
                <w:color w:val="000000" w:themeColor="text1"/>
                <w:highlight w:val="none"/>
                <w14:textFill>
                  <w14:solidFill>
                    <w14:schemeClr w14:val="tx1"/>
                  </w14:solidFill>
                </w14:textFill>
              </w:rPr>
              <w:t>供应商请注意：采购代理机构对采购文件进行的澄清、更正或更改，将在网站上及时发布，该公告内容为采购文件的组成部分，对供应商具有同样约束效力。</w:t>
            </w:r>
          </w:p>
        </w:tc>
      </w:tr>
      <w:tr w14:paraId="5A29887B">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auto" w:sz="4" w:space="0"/>
              <w:bottom w:val="single" w:color="auto" w:sz="4" w:space="0"/>
              <w:right w:val="single" w:color="000000" w:sz="4" w:space="0"/>
            </w:tcBorders>
            <w:vAlign w:val="center"/>
          </w:tcPr>
          <w:p w14:paraId="700D251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77" w:name="_Toc144887197"/>
            <w:bookmarkStart w:id="278" w:name="_Toc144880807"/>
            <w:r>
              <w:rPr>
                <w:rFonts w:hint="eastAsia"/>
                <w:color w:val="000000" w:themeColor="text1"/>
                <w:highlight w:val="none"/>
                <w14:textFill>
                  <w14:solidFill>
                    <w14:schemeClr w14:val="tx1"/>
                  </w14:solidFill>
                </w14:textFill>
              </w:rPr>
              <w:t>21</w:t>
            </w:r>
            <w:bookmarkEnd w:id="277"/>
            <w:bookmarkEnd w:id="278"/>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673465CE">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79" w:name="_Toc144887198"/>
            <w:bookmarkStart w:id="280" w:name="_Toc21576"/>
            <w:bookmarkStart w:id="281" w:name="_Toc144880808"/>
            <w:bookmarkStart w:id="282" w:name="_Toc5008"/>
            <w:r>
              <w:rPr>
                <w:rFonts w:hint="eastAsia"/>
                <w:color w:val="000000" w:themeColor="text1"/>
                <w:highlight w:val="none"/>
                <w14:textFill>
                  <w14:solidFill>
                    <w14:schemeClr w14:val="tx1"/>
                  </w14:solidFill>
                </w14:textFill>
              </w:rPr>
              <w:t>偏离</w:t>
            </w:r>
            <w:bookmarkEnd w:id="279"/>
            <w:bookmarkEnd w:id="280"/>
            <w:bookmarkEnd w:id="281"/>
            <w:bookmarkEnd w:id="282"/>
          </w:p>
        </w:tc>
        <w:tc>
          <w:tcPr>
            <w:tcW w:w="7794" w:type="dxa"/>
            <w:tcBorders>
              <w:top w:val="single" w:color="auto" w:sz="4" w:space="0"/>
              <w:left w:val="single" w:color="000000" w:sz="4" w:space="0"/>
              <w:bottom w:val="single" w:color="auto" w:sz="4" w:space="0"/>
              <w:right w:val="single" w:color="auto" w:sz="4" w:space="0"/>
            </w:tcBorders>
            <w:shd w:val="clear" w:color="auto" w:fill="auto"/>
            <w:vAlign w:val="center"/>
          </w:tcPr>
          <w:p w14:paraId="7AB8CEB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83" w:name="_Toc144880809"/>
            <w:bookmarkStart w:id="284" w:name="_Toc144887199"/>
            <w:r>
              <w:rPr>
                <w:rFonts w:hint="eastAsia"/>
                <w:color w:val="000000" w:themeColor="text1"/>
                <w:highlight w:val="none"/>
                <w14:textFill>
                  <w14:solidFill>
                    <w14:schemeClr w14:val="tx1"/>
                  </w14:solidFill>
                </w14:textFill>
              </w:rPr>
              <w:t>不偏离</w:t>
            </w:r>
            <w:bookmarkEnd w:id="283"/>
            <w:bookmarkEnd w:id="284"/>
          </w:p>
        </w:tc>
      </w:tr>
      <w:tr w14:paraId="75D4C46F">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auto" w:sz="4" w:space="0"/>
              <w:bottom w:val="single" w:color="auto" w:sz="4" w:space="0"/>
              <w:right w:val="single" w:color="000000" w:sz="4" w:space="0"/>
            </w:tcBorders>
            <w:vAlign w:val="center"/>
          </w:tcPr>
          <w:p w14:paraId="25AA8E2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85" w:name="_Toc144887200"/>
            <w:bookmarkStart w:id="286" w:name="_Toc144880810"/>
            <w:r>
              <w:rPr>
                <w:rFonts w:hint="eastAsia"/>
                <w:color w:val="000000" w:themeColor="text1"/>
                <w:highlight w:val="none"/>
                <w14:textFill>
                  <w14:solidFill>
                    <w14:schemeClr w14:val="tx1"/>
                  </w14:solidFill>
                </w14:textFill>
              </w:rPr>
              <w:t>22</w:t>
            </w:r>
            <w:bookmarkEnd w:id="285"/>
            <w:bookmarkEnd w:id="286"/>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4902887E">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87" w:name="_Toc31713"/>
            <w:bookmarkStart w:id="288" w:name="_Toc14346"/>
            <w:bookmarkStart w:id="289" w:name="_Toc144880811"/>
            <w:bookmarkStart w:id="290" w:name="_Toc144887201"/>
            <w:r>
              <w:rPr>
                <w:rFonts w:hint="eastAsia"/>
                <w:color w:val="000000" w:themeColor="text1"/>
                <w:highlight w:val="none"/>
                <w14:textFill>
                  <w14:solidFill>
                    <w14:schemeClr w14:val="tx1"/>
                  </w14:solidFill>
                </w14:textFill>
              </w:rPr>
              <w:t>构成谈判文件的其他内容材料</w:t>
            </w:r>
            <w:bookmarkEnd w:id="287"/>
            <w:bookmarkEnd w:id="288"/>
            <w:bookmarkEnd w:id="289"/>
            <w:bookmarkEnd w:id="290"/>
          </w:p>
        </w:tc>
        <w:tc>
          <w:tcPr>
            <w:tcW w:w="7794" w:type="dxa"/>
            <w:tcBorders>
              <w:top w:val="single" w:color="auto" w:sz="4" w:space="0"/>
              <w:left w:val="single" w:color="000000" w:sz="4" w:space="0"/>
              <w:bottom w:val="single" w:color="auto" w:sz="4" w:space="0"/>
              <w:right w:val="single" w:color="auto" w:sz="4" w:space="0"/>
            </w:tcBorders>
            <w:shd w:val="clear" w:color="auto" w:fill="auto"/>
            <w:vAlign w:val="center"/>
          </w:tcPr>
          <w:p w14:paraId="3AA2D229">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291" w:name="_Toc1204"/>
            <w:bookmarkStart w:id="292" w:name="_Toc5484"/>
            <w:bookmarkStart w:id="293" w:name="_Toc144880812"/>
            <w:bookmarkStart w:id="294" w:name="_Toc144887202"/>
            <w:r>
              <w:rPr>
                <w:rFonts w:hint="eastAsia"/>
                <w:color w:val="000000" w:themeColor="text1"/>
                <w:highlight w:val="none"/>
                <w14:textFill>
                  <w14:solidFill>
                    <w14:schemeClr w14:val="tx1"/>
                  </w14:solidFill>
                </w14:textFill>
              </w:rPr>
              <w:t>采购需求、澄清文件、答疑文件</w:t>
            </w:r>
            <w:bookmarkEnd w:id="291"/>
            <w:bookmarkEnd w:id="292"/>
            <w:bookmarkEnd w:id="293"/>
            <w:bookmarkEnd w:id="294"/>
          </w:p>
        </w:tc>
      </w:tr>
      <w:tr w14:paraId="0DE299A2">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312D9C4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95" w:name="_Toc144887203"/>
            <w:bookmarkStart w:id="296" w:name="_Toc144880813"/>
            <w:r>
              <w:rPr>
                <w:rFonts w:hint="eastAsia"/>
                <w:color w:val="000000" w:themeColor="text1"/>
                <w:highlight w:val="none"/>
                <w14:textFill>
                  <w14:solidFill>
                    <w14:schemeClr w14:val="tx1"/>
                  </w14:solidFill>
                </w14:textFill>
              </w:rPr>
              <w:t>23</w:t>
            </w:r>
            <w:bookmarkEnd w:id="295"/>
            <w:bookmarkEnd w:id="296"/>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78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297" w:name="_Toc1503"/>
            <w:bookmarkEnd w:id="297"/>
            <w:bookmarkStart w:id="298" w:name="_Toc31907"/>
            <w:bookmarkEnd w:id="298"/>
            <w:bookmarkStart w:id="299" w:name="_Toc29568"/>
            <w:bookmarkEnd w:id="299"/>
            <w:bookmarkStart w:id="300" w:name="_Toc28517"/>
            <w:bookmarkEnd w:id="300"/>
            <w:bookmarkStart w:id="301" w:name="_Toc144880814"/>
            <w:bookmarkStart w:id="302" w:name="_Toc6820"/>
            <w:bookmarkStart w:id="303" w:name="_Toc4241"/>
            <w:bookmarkStart w:id="304" w:name="_Toc144887204"/>
            <w:r>
              <w:rPr>
                <w:rFonts w:hint="eastAsia"/>
                <w:color w:val="000000" w:themeColor="text1"/>
                <w:highlight w:val="none"/>
                <w14:textFill>
                  <w14:solidFill>
                    <w14:schemeClr w14:val="tx1"/>
                  </w14:solidFill>
                </w14:textFill>
              </w:rPr>
              <w:t>是否允许递交备选谈判方案</w:t>
            </w:r>
            <w:bookmarkEnd w:id="301"/>
            <w:bookmarkEnd w:id="302"/>
            <w:bookmarkEnd w:id="303"/>
            <w:bookmarkEnd w:id="304"/>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AD2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305" w:name="_Toc12233"/>
            <w:bookmarkEnd w:id="305"/>
            <w:bookmarkStart w:id="306" w:name="_Toc9052"/>
            <w:bookmarkEnd w:id="306"/>
            <w:bookmarkStart w:id="307" w:name="_Toc23771"/>
            <w:bookmarkEnd w:id="307"/>
            <w:bookmarkStart w:id="308" w:name="_Toc15139"/>
            <w:bookmarkEnd w:id="308"/>
            <w:bookmarkStart w:id="309" w:name="_Toc2747"/>
            <w:bookmarkStart w:id="310" w:name="_Toc144880815"/>
            <w:bookmarkStart w:id="311" w:name="_Toc144887205"/>
            <w:bookmarkStart w:id="312" w:name="_Toc18740"/>
            <w:r>
              <w:rPr>
                <w:rFonts w:hint="eastAsia"/>
                <w:color w:val="000000" w:themeColor="text1"/>
                <w:highlight w:val="none"/>
                <w14:textFill>
                  <w14:solidFill>
                    <w14:schemeClr w14:val="tx1"/>
                  </w14:solidFill>
                </w14:textFill>
              </w:rPr>
              <w:t>不允许</w:t>
            </w:r>
            <w:bookmarkEnd w:id="309"/>
            <w:bookmarkEnd w:id="310"/>
            <w:bookmarkEnd w:id="311"/>
            <w:bookmarkEnd w:id="312"/>
          </w:p>
        </w:tc>
      </w:tr>
      <w:tr w14:paraId="7E9C4474">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F88B68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13" w:name="_Toc144880816"/>
            <w:bookmarkStart w:id="314" w:name="_Toc144887206"/>
            <w:r>
              <w:rPr>
                <w:rFonts w:hint="eastAsia"/>
                <w:color w:val="000000" w:themeColor="text1"/>
                <w:highlight w:val="none"/>
                <w14:textFill>
                  <w14:solidFill>
                    <w14:schemeClr w14:val="tx1"/>
                  </w14:solidFill>
                </w14:textFill>
              </w:rPr>
              <w:t>24</w:t>
            </w:r>
            <w:bookmarkEnd w:id="313"/>
            <w:bookmarkEnd w:id="314"/>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D01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15" w:name="_Toc13674"/>
            <w:bookmarkEnd w:id="315"/>
            <w:bookmarkStart w:id="316" w:name="_Toc9045"/>
            <w:bookmarkEnd w:id="316"/>
            <w:bookmarkStart w:id="317" w:name="_Toc7680"/>
            <w:bookmarkEnd w:id="317"/>
            <w:bookmarkStart w:id="318" w:name="_Toc19038"/>
            <w:bookmarkEnd w:id="318"/>
            <w:bookmarkStart w:id="319" w:name="_Toc144880817"/>
            <w:bookmarkStart w:id="320" w:name="_Toc32676"/>
            <w:bookmarkStart w:id="321" w:name="_Toc144887207"/>
            <w:bookmarkStart w:id="322" w:name="_Toc2625"/>
            <w:r>
              <w:rPr>
                <w:rFonts w:hint="eastAsia"/>
                <w:color w:val="000000" w:themeColor="text1"/>
                <w:highlight w:val="none"/>
                <w14:textFill>
                  <w14:solidFill>
                    <w14:schemeClr w14:val="tx1"/>
                  </w14:solidFill>
                </w14:textFill>
              </w:rPr>
              <w:t>签字或盖章要求</w:t>
            </w:r>
            <w:bookmarkEnd w:id="319"/>
            <w:bookmarkEnd w:id="320"/>
            <w:bookmarkEnd w:id="321"/>
            <w:bookmarkEnd w:id="322"/>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4A7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323" w:name="_Toc21453"/>
            <w:bookmarkEnd w:id="323"/>
            <w:bookmarkStart w:id="324" w:name="_Toc24394"/>
            <w:bookmarkEnd w:id="324"/>
            <w:bookmarkStart w:id="325" w:name="_Toc15053"/>
            <w:bookmarkEnd w:id="325"/>
            <w:bookmarkStart w:id="326" w:name="_Toc31579"/>
            <w:bookmarkEnd w:id="326"/>
            <w:bookmarkStart w:id="327" w:name="_Toc9946"/>
            <w:bookmarkStart w:id="328" w:name="_Toc144880818"/>
            <w:bookmarkStart w:id="329" w:name="_Toc25816"/>
            <w:bookmarkStart w:id="330" w:name="_Toc144887208"/>
            <w:r>
              <w:rPr>
                <w:rFonts w:hint="eastAsia"/>
                <w:color w:val="000000" w:themeColor="text1"/>
                <w:highlight w:val="none"/>
                <w14:textFill>
                  <w14:solidFill>
                    <w14:schemeClr w14:val="tx1"/>
                  </w14:solidFill>
                </w14:textFill>
              </w:rPr>
              <w:t>按本谈判文件规定</w:t>
            </w:r>
            <w:bookmarkEnd w:id="327"/>
            <w:bookmarkEnd w:id="328"/>
            <w:bookmarkEnd w:id="329"/>
            <w:bookmarkEnd w:id="330"/>
          </w:p>
        </w:tc>
      </w:tr>
      <w:tr w14:paraId="704E776F">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2EBD74B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31" w:name="_Toc144887209"/>
            <w:bookmarkStart w:id="332" w:name="_Toc144880819"/>
            <w:r>
              <w:rPr>
                <w:rFonts w:hint="eastAsia"/>
                <w:color w:val="000000" w:themeColor="text1"/>
                <w:highlight w:val="none"/>
                <w14:textFill>
                  <w14:solidFill>
                    <w14:schemeClr w14:val="tx1"/>
                  </w14:solidFill>
                </w14:textFill>
              </w:rPr>
              <w:t>25</w:t>
            </w:r>
            <w:bookmarkEnd w:id="331"/>
            <w:bookmarkEnd w:id="332"/>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3E6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33" w:name="_Toc13047"/>
            <w:bookmarkEnd w:id="333"/>
            <w:bookmarkStart w:id="334" w:name="_Toc1137"/>
            <w:bookmarkEnd w:id="334"/>
            <w:bookmarkStart w:id="335" w:name="_Toc7392"/>
            <w:bookmarkEnd w:id="335"/>
            <w:bookmarkStart w:id="336" w:name="_Toc4220"/>
            <w:bookmarkEnd w:id="336"/>
            <w:bookmarkStart w:id="337" w:name="_Toc6750"/>
            <w:bookmarkStart w:id="338" w:name="_Toc144887210"/>
            <w:bookmarkStart w:id="339" w:name="_Toc19474"/>
            <w:bookmarkStart w:id="340" w:name="_Toc144880820"/>
            <w:r>
              <w:rPr>
                <w:rFonts w:hint="eastAsia"/>
                <w:color w:val="000000" w:themeColor="text1"/>
                <w:highlight w:val="none"/>
                <w14:textFill>
                  <w14:solidFill>
                    <w14:schemeClr w14:val="tx1"/>
                  </w14:solidFill>
                </w14:textFill>
              </w:rPr>
              <w:t>谈判文件份数</w:t>
            </w:r>
            <w:bookmarkEnd w:id="337"/>
            <w:bookmarkEnd w:id="338"/>
            <w:bookmarkEnd w:id="339"/>
            <w:bookmarkEnd w:id="340"/>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B038">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341" w:name="_Toc7337"/>
            <w:bookmarkEnd w:id="341"/>
            <w:r>
              <w:rPr>
                <w:rFonts w:hint="eastAsia"/>
                <w:color w:val="000000" w:themeColor="text1"/>
                <w:highlight w:val="none"/>
                <w14:textFill>
                  <w14:solidFill>
                    <w14:schemeClr w14:val="tx1"/>
                  </w14:solidFill>
                </w14:textFill>
              </w:rPr>
              <w:t>投标响应文件必须胶装，正本壹份，副本</w:t>
            </w:r>
            <w:r>
              <w:rPr>
                <w:rFonts w:hint="eastAsia"/>
                <w:color w:val="000000" w:themeColor="text1"/>
                <w:highlight w:val="none"/>
                <w:lang w:eastAsia="zh-CN"/>
                <w14:textFill>
                  <w14:solidFill>
                    <w14:schemeClr w14:val="tx1"/>
                  </w14:solidFill>
                </w14:textFill>
              </w:rPr>
              <w:t>叁</w:t>
            </w:r>
            <w:r>
              <w:rPr>
                <w:rFonts w:hint="eastAsia"/>
                <w:color w:val="000000" w:themeColor="text1"/>
                <w:highlight w:val="none"/>
                <w14:textFill>
                  <w14:solidFill>
                    <w14:schemeClr w14:val="tx1"/>
                  </w14:solidFill>
                </w14:textFill>
              </w:rPr>
              <w:t>份，电子U盘一份（副本可以是正本的复印件，复印件必须字迹清晰可认）正副本分开密封，电子U盘随正本一起装订。</w:t>
            </w:r>
          </w:p>
          <w:p w14:paraId="4063B95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开标现场提交用信封密封的投标响应文件，封袋上注明：采购人名称、项目名称及项目编号、投标人名称，投标人地址，并注明“在 年 月 日 时 分 （投标截止时间）之前不得启封”字样。</w:t>
            </w:r>
          </w:p>
        </w:tc>
      </w:tr>
      <w:tr w14:paraId="272AA33B">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4BF88AB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42" w:name="_Toc12648"/>
            <w:bookmarkStart w:id="343" w:name="_Toc6445"/>
            <w:bookmarkStart w:id="344" w:name="_Toc144880822"/>
            <w:bookmarkStart w:id="345" w:name="_Toc144887212"/>
            <w:r>
              <w:rPr>
                <w:rFonts w:hint="eastAsia"/>
                <w:color w:val="000000" w:themeColor="text1"/>
                <w:highlight w:val="none"/>
                <w14:textFill>
                  <w14:solidFill>
                    <w14:schemeClr w14:val="tx1"/>
                  </w14:solidFill>
                </w14:textFill>
              </w:rPr>
              <w:t>2</w:t>
            </w:r>
            <w:bookmarkEnd w:id="342"/>
            <w:bookmarkEnd w:id="343"/>
            <w:r>
              <w:rPr>
                <w:rFonts w:hint="eastAsia"/>
                <w:color w:val="000000" w:themeColor="text1"/>
                <w:highlight w:val="none"/>
                <w14:textFill>
                  <w14:solidFill>
                    <w14:schemeClr w14:val="tx1"/>
                  </w14:solidFill>
                </w14:textFill>
              </w:rPr>
              <w:t>6</w:t>
            </w:r>
            <w:bookmarkEnd w:id="344"/>
            <w:bookmarkEnd w:id="345"/>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66E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46" w:name="_Toc28368"/>
            <w:bookmarkEnd w:id="346"/>
            <w:bookmarkStart w:id="347" w:name="_Toc12120"/>
            <w:bookmarkEnd w:id="347"/>
            <w:bookmarkStart w:id="348" w:name="_Toc1095"/>
            <w:bookmarkEnd w:id="348"/>
            <w:bookmarkStart w:id="349" w:name="_Toc14309"/>
            <w:bookmarkEnd w:id="349"/>
            <w:bookmarkStart w:id="350" w:name="_Toc144880823"/>
            <w:bookmarkStart w:id="351" w:name="_Toc16793"/>
            <w:bookmarkStart w:id="352" w:name="_Toc144887213"/>
            <w:bookmarkStart w:id="353" w:name="_Toc5276"/>
            <w:r>
              <w:rPr>
                <w:rFonts w:hint="eastAsia"/>
                <w:color w:val="000000" w:themeColor="text1"/>
                <w:highlight w:val="none"/>
                <w14:textFill>
                  <w14:solidFill>
                    <w14:schemeClr w14:val="tx1"/>
                  </w14:solidFill>
                </w14:textFill>
              </w:rPr>
              <w:t>递交谈判响应文件地点</w:t>
            </w:r>
            <w:bookmarkEnd w:id="350"/>
            <w:bookmarkEnd w:id="351"/>
            <w:bookmarkEnd w:id="352"/>
            <w:bookmarkEnd w:id="353"/>
          </w:p>
        </w:tc>
        <w:tc>
          <w:tcPr>
            <w:tcW w:w="7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A2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354" w:name="_Toc5756"/>
            <w:bookmarkEnd w:id="354"/>
            <w:bookmarkStart w:id="355" w:name="_Toc1391"/>
            <w:bookmarkEnd w:id="355"/>
            <w:r>
              <w:rPr>
                <w:rFonts w:hint="eastAsia"/>
                <w:color w:val="000000" w:themeColor="text1"/>
                <w:highlight w:val="none"/>
                <w:lang w:eastAsia="zh-CN"/>
                <w14:textFill>
                  <w14:solidFill>
                    <w14:schemeClr w14:val="tx1"/>
                  </w14:solidFill>
                </w14:textFill>
              </w:rPr>
              <w:t>见采购公告</w:t>
            </w:r>
          </w:p>
        </w:tc>
      </w:tr>
      <w:tr w14:paraId="5E54BDB5">
        <w:tblPrEx>
          <w:tblCellMar>
            <w:top w:w="0" w:type="dxa"/>
            <w:left w:w="0" w:type="dxa"/>
            <w:bottom w:w="0" w:type="dxa"/>
            <w:right w:w="0" w:type="dxa"/>
          </w:tblCellMar>
        </w:tblPrEx>
        <w:trPr>
          <w:trHeight w:val="0" w:hRule="atLeast"/>
          <w:jc w:val="center"/>
        </w:trPr>
        <w:tc>
          <w:tcPr>
            <w:tcW w:w="674" w:type="dxa"/>
            <w:tcBorders>
              <w:top w:val="single" w:color="000000" w:sz="4" w:space="0"/>
              <w:left w:val="single" w:color="000000" w:sz="4" w:space="0"/>
              <w:bottom w:val="single" w:color="auto" w:sz="4" w:space="0"/>
              <w:right w:val="single" w:color="000000" w:sz="4" w:space="0"/>
            </w:tcBorders>
            <w:vAlign w:val="center"/>
          </w:tcPr>
          <w:p w14:paraId="6409CEC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56" w:name="_Toc4173"/>
            <w:bookmarkStart w:id="357" w:name="_Toc4478"/>
            <w:bookmarkStart w:id="358" w:name="_Toc144880825"/>
            <w:bookmarkStart w:id="359" w:name="_Toc144887215"/>
            <w:r>
              <w:rPr>
                <w:rFonts w:hint="eastAsia"/>
                <w:color w:val="000000" w:themeColor="text1"/>
                <w:highlight w:val="none"/>
                <w14:textFill>
                  <w14:solidFill>
                    <w14:schemeClr w14:val="tx1"/>
                  </w14:solidFill>
                </w14:textFill>
              </w:rPr>
              <w:t>2</w:t>
            </w:r>
            <w:bookmarkEnd w:id="356"/>
            <w:bookmarkEnd w:id="357"/>
            <w:r>
              <w:rPr>
                <w:rFonts w:hint="eastAsia"/>
                <w:color w:val="000000" w:themeColor="text1"/>
                <w:highlight w:val="none"/>
                <w14:textFill>
                  <w14:solidFill>
                    <w14:schemeClr w14:val="tx1"/>
                  </w14:solidFill>
                </w14:textFill>
              </w:rPr>
              <w:t>7</w:t>
            </w:r>
            <w:bookmarkEnd w:id="358"/>
            <w:bookmarkEnd w:id="359"/>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7641C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60" w:name="_Toc11242"/>
            <w:bookmarkEnd w:id="360"/>
            <w:bookmarkStart w:id="361" w:name="_Toc23536"/>
            <w:bookmarkEnd w:id="361"/>
            <w:bookmarkStart w:id="362" w:name="_Toc18607"/>
            <w:bookmarkEnd w:id="362"/>
            <w:bookmarkStart w:id="363" w:name="_Toc26553"/>
            <w:bookmarkEnd w:id="363"/>
            <w:bookmarkStart w:id="364" w:name="_Toc31996"/>
            <w:bookmarkStart w:id="365" w:name="_Toc144887216"/>
            <w:bookmarkStart w:id="366" w:name="_Toc144880826"/>
            <w:bookmarkStart w:id="367" w:name="_Toc30982"/>
            <w:r>
              <w:rPr>
                <w:rFonts w:hint="eastAsia"/>
                <w:color w:val="000000" w:themeColor="text1"/>
                <w:highlight w:val="none"/>
                <w14:textFill>
                  <w14:solidFill>
                    <w14:schemeClr w14:val="tx1"/>
                  </w14:solidFill>
                </w14:textFill>
              </w:rPr>
              <w:t>是否退还谈判响应文件</w:t>
            </w:r>
            <w:bookmarkEnd w:id="364"/>
            <w:bookmarkEnd w:id="365"/>
            <w:bookmarkEnd w:id="366"/>
            <w:bookmarkEnd w:id="367"/>
          </w:p>
        </w:tc>
        <w:tc>
          <w:tcPr>
            <w:tcW w:w="7794" w:type="dxa"/>
            <w:tcBorders>
              <w:top w:val="single" w:color="000000" w:sz="4" w:space="0"/>
              <w:left w:val="single" w:color="000000" w:sz="4" w:space="0"/>
              <w:bottom w:val="single" w:color="auto" w:sz="4" w:space="0"/>
              <w:right w:val="single" w:color="000000" w:sz="4" w:space="0"/>
            </w:tcBorders>
            <w:shd w:val="clear" w:color="auto" w:fill="auto"/>
            <w:vAlign w:val="center"/>
          </w:tcPr>
          <w:p w14:paraId="4B6CEBD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368" w:name="_Toc30822"/>
            <w:bookmarkEnd w:id="368"/>
            <w:bookmarkStart w:id="369" w:name="_Toc1232"/>
            <w:bookmarkEnd w:id="369"/>
            <w:bookmarkStart w:id="370" w:name="_Toc31840"/>
            <w:bookmarkEnd w:id="370"/>
            <w:bookmarkStart w:id="371" w:name="_Toc10402"/>
            <w:bookmarkEnd w:id="371"/>
            <w:bookmarkStart w:id="372" w:name="_Toc144887217"/>
            <w:bookmarkStart w:id="373" w:name="_Toc22203"/>
            <w:bookmarkStart w:id="374" w:name="_Toc144880827"/>
            <w:bookmarkStart w:id="375" w:name="_Toc7597"/>
            <w:r>
              <w:rPr>
                <w:rFonts w:hint="eastAsia"/>
                <w:color w:val="000000" w:themeColor="text1"/>
                <w:highlight w:val="none"/>
                <w14:textFill>
                  <w14:solidFill>
                    <w14:schemeClr w14:val="tx1"/>
                  </w14:solidFill>
                </w14:textFill>
              </w:rPr>
              <w:t>否</w:t>
            </w:r>
            <w:bookmarkEnd w:id="372"/>
            <w:bookmarkEnd w:id="373"/>
            <w:bookmarkEnd w:id="374"/>
            <w:bookmarkEnd w:id="375"/>
          </w:p>
        </w:tc>
      </w:tr>
      <w:tr w14:paraId="0F2CB2FB">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238F4916">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76" w:name="_Toc144887218"/>
            <w:bookmarkStart w:id="377" w:name="_Toc144880828"/>
            <w:r>
              <w:rPr>
                <w:rFonts w:hint="eastAsia"/>
                <w:color w:val="000000" w:themeColor="text1"/>
                <w:highlight w:val="none"/>
                <w14:textFill>
                  <w14:solidFill>
                    <w14:schemeClr w14:val="tx1"/>
                  </w14:solidFill>
                </w14:textFill>
              </w:rPr>
              <w:t>28</w:t>
            </w:r>
            <w:bookmarkEnd w:id="376"/>
            <w:bookmarkEnd w:id="377"/>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437AC5E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78" w:name="_Toc31226"/>
            <w:bookmarkEnd w:id="378"/>
            <w:bookmarkStart w:id="379" w:name="_Toc19594"/>
            <w:bookmarkEnd w:id="379"/>
            <w:bookmarkStart w:id="380" w:name="_Toc2446"/>
            <w:bookmarkEnd w:id="380"/>
            <w:bookmarkStart w:id="381" w:name="_Toc10354"/>
            <w:bookmarkEnd w:id="381"/>
            <w:bookmarkStart w:id="382" w:name="_Toc144880829"/>
            <w:bookmarkStart w:id="383" w:name="_Toc144887219"/>
            <w:bookmarkStart w:id="384" w:name="_Toc12750"/>
            <w:bookmarkStart w:id="385" w:name="_Toc6821"/>
            <w:r>
              <w:rPr>
                <w:rFonts w:hint="eastAsia"/>
                <w:color w:val="000000" w:themeColor="text1"/>
                <w:highlight w:val="none"/>
                <w14:textFill>
                  <w14:solidFill>
                    <w14:schemeClr w14:val="tx1"/>
                  </w14:solidFill>
                </w14:textFill>
              </w:rPr>
              <w:t>开标时间和地点</w:t>
            </w:r>
            <w:bookmarkEnd w:id="382"/>
            <w:bookmarkEnd w:id="383"/>
            <w:bookmarkEnd w:id="384"/>
            <w:bookmarkEnd w:id="385"/>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2EB39FE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lang w:eastAsia="zh-CN"/>
                <w14:textFill>
                  <w14:solidFill>
                    <w14:schemeClr w14:val="tx1"/>
                  </w14:solidFill>
                </w14:textFill>
              </w:rPr>
            </w:pPr>
            <w:bookmarkStart w:id="386" w:name="_Toc10596"/>
            <w:bookmarkEnd w:id="386"/>
            <w:bookmarkStart w:id="387" w:name="_Toc27324"/>
            <w:bookmarkEnd w:id="387"/>
            <w:bookmarkStart w:id="388" w:name="_Toc3980"/>
            <w:bookmarkEnd w:id="388"/>
            <w:bookmarkStart w:id="389" w:name="_Toc30687"/>
            <w:bookmarkEnd w:id="389"/>
            <w:r>
              <w:rPr>
                <w:rFonts w:hint="eastAsia"/>
                <w:color w:val="000000" w:themeColor="text1"/>
                <w:highlight w:val="none"/>
                <w14:textFill>
                  <w14:solidFill>
                    <w14:schemeClr w14:val="tx1"/>
                  </w14:solidFill>
                </w14:textFill>
              </w:rPr>
              <w:t>开标时间：</w:t>
            </w:r>
            <w:r>
              <w:rPr>
                <w:rFonts w:hint="eastAsia"/>
                <w:color w:val="000000" w:themeColor="text1"/>
                <w:highlight w:val="none"/>
                <w:lang w:eastAsia="zh-CN"/>
                <w14:textFill>
                  <w14:solidFill>
                    <w14:schemeClr w14:val="tx1"/>
                  </w14:solidFill>
                </w14:textFill>
              </w:rPr>
              <w:t>见采购公告</w:t>
            </w:r>
          </w:p>
          <w:p w14:paraId="496D3C10">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开标地点：</w:t>
            </w:r>
            <w:r>
              <w:rPr>
                <w:rFonts w:hint="eastAsia"/>
                <w:color w:val="000000" w:themeColor="text1"/>
                <w:highlight w:val="none"/>
                <w:lang w:eastAsia="zh-CN"/>
                <w14:textFill>
                  <w14:solidFill>
                    <w14:schemeClr w14:val="tx1"/>
                  </w14:solidFill>
                </w14:textFill>
              </w:rPr>
              <w:t>见采购公告</w:t>
            </w:r>
          </w:p>
        </w:tc>
      </w:tr>
      <w:tr w14:paraId="083843A1">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415D461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90" w:name="_Toc144887221"/>
            <w:bookmarkStart w:id="391" w:name="_Toc144880831"/>
            <w:r>
              <w:rPr>
                <w:rFonts w:hint="eastAsia"/>
                <w:color w:val="000000" w:themeColor="text1"/>
                <w:highlight w:val="none"/>
                <w14:textFill>
                  <w14:solidFill>
                    <w14:schemeClr w14:val="tx1"/>
                  </w14:solidFill>
                </w14:textFill>
              </w:rPr>
              <w:t>29</w:t>
            </w:r>
            <w:bookmarkEnd w:id="390"/>
            <w:bookmarkEnd w:id="391"/>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7025D91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392" w:name="_Toc8744"/>
            <w:bookmarkEnd w:id="392"/>
            <w:bookmarkStart w:id="393" w:name="_Toc9064"/>
            <w:bookmarkEnd w:id="393"/>
            <w:bookmarkStart w:id="394" w:name="_Toc19129"/>
            <w:bookmarkEnd w:id="394"/>
            <w:bookmarkStart w:id="395" w:name="_Toc24494"/>
            <w:bookmarkEnd w:id="395"/>
            <w:bookmarkStart w:id="396" w:name="_Toc144887222"/>
            <w:bookmarkStart w:id="397" w:name="_Toc144880832"/>
            <w:bookmarkStart w:id="398" w:name="_Toc28772"/>
            <w:bookmarkStart w:id="399" w:name="_Toc20855"/>
            <w:r>
              <w:rPr>
                <w:rFonts w:hint="eastAsia"/>
                <w:color w:val="000000" w:themeColor="text1"/>
                <w:highlight w:val="none"/>
                <w14:textFill>
                  <w14:solidFill>
                    <w14:schemeClr w14:val="tx1"/>
                  </w14:solidFill>
                </w14:textFill>
              </w:rPr>
              <w:t>开标程序</w:t>
            </w:r>
            <w:bookmarkEnd w:id="396"/>
            <w:bookmarkEnd w:id="397"/>
            <w:bookmarkEnd w:id="398"/>
            <w:bookmarkEnd w:id="399"/>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0CB9A59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00" w:name="_Toc23222"/>
            <w:bookmarkEnd w:id="400"/>
            <w:bookmarkStart w:id="401" w:name="_Toc30301"/>
            <w:bookmarkEnd w:id="401"/>
            <w:bookmarkStart w:id="402" w:name="_Toc19935"/>
            <w:bookmarkEnd w:id="402"/>
            <w:bookmarkStart w:id="403" w:name="_Toc15592"/>
            <w:bookmarkEnd w:id="403"/>
            <w:r>
              <w:rPr>
                <w:rFonts w:hint="eastAsia"/>
                <w:color w:val="000000" w:themeColor="text1"/>
                <w:highlight w:val="none"/>
                <w14:textFill>
                  <w14:solidFill>
                    <w14:schemeClr w14:val="tx1"/>
                  </w14:solidFill>
                </w14:textFill>
              </w:rPr>
              <w:t>1.执行采购文件相关要求</w:t>
            </w:r>
          </w:p>
          <w:p w14:paraId="6574F28B">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2.开标顺序：按投标人签到顺序</w:t>
            </w:r>
          </w:p>
        </w:tc>
      </w:tr>
      <w:tr w14:paraId="58030E54">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3C0DBC3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04" w:name="_Toc15222"/>
            <w:bookmarkStart w:id="405" w:name="_Toc17454"/>
            <w:bookmarkStart w:id="406" w:name="_Toc144887224"/>
            <w:bookmarkStart w:id="407" w:name="_Toc144880834"/>
            <w:r>
              <w:rPr>
                <w:rFonts w:hint="eastAsia"/>
                <w:color w:val="000000" w:themeColor="text1"/>
                <w:highlight w:val="none"/>
                <w14:textFill>
                  <w14:solidFill>
                    <w14:schemeClr w14:val="tx1"/>
                  </w14:solidFill>
                </w14:textFill>
              </w:rPr>
              <w:t>3</w:t>
            </w:r>
            <w:bookmarkEnd w:id="404"/>
            <w:bookmarkEnd w:id="405"/>
            <w:r>
              <w:rPr>
                <w:rFonts w:hint="eastAsia"/>
                <w:color w:val="000000" w:themeColor="text1"/>
                <w:highlight w:val="none"/>
                <w14:textFill>
                  <w14:solidFill>
                    <w14:schemeClr w14:val="tx1"/>
                  </w14:solidFill>
                </w14:textFill>
              </w:rPr>
              <w:t>0</w:t>
            </w:r>
            <w:bookmarkEnd w:id="406"/>
            <w:bookmarkEnd w:id="407"/>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67FAF25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08" w:name="_Toc29648"/>
            <w:bookmarkEnd w:id="408"/>
            <w:bookmarkStart w:id="409" w:name="_Toc16585"/>
            <w:bookmarkEnd w:id="409"/>
            <w:bookmarkStart w:id="410" w:name="_Toc2310"/>
            <w:bookmarkEnd w:id="410"/>
            <w:bookmarkStart w:id="411" w:name="_Toc18200"/>
            <w:bookmarkEnd w:id="411"/>
            <w:bookmarkStart w:id="412" w:name="_Toc17186"/>
            <w:bookmarkStart w:id="413" w:name="_Toc28102"/>
            <w:bookmarkStart w:id="414" w:name="_Toc144887225"/>
            <w:bookmarkStart w:id="415" w:name="_Toc144880835"/>
            <w:r>
              <w:rPr>
                <w:rFonts w:hint="eastAsia"/>
                <w:color w:val="000000" w:themeColor="text1"/>
                <w:highlight w:val="none"/>
                <w14:textFill>
                  <w14:solidFill>
                    <w14:schemeClr w14:val="tx1"/>
                  </w14:solidFill>
                </w14:textFill>
              </w:rPr>
              <w:t>谈判小组的组建</w:t>
            </w:r>
            <w:bookmarkEnd w:id="412"/>
            <w:bookmarkEnd w:id="413"/>
            <w:bookmarkEnd w:id="414"/>
            <w:bookmarkEnd w:id="415"/>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52248FD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16" w:name="_Toc23616"/>
            <w:bookmarkEnd w:id="416"/>
            <w:bookmarkStart w:id="417" w:name="_Toc4018"/>
            <w:bookmarkEnd w:id="417"/>
            <w:r>
              <w:rPr>
                <w:rFonts w:hint="eastAsia"/>
                <w:color w:val="000000" w:themeColor="text1"/>
                <w:highlight w:val="none"/>
                <w14:textFill>
                  <w14:solidFill>
                    <w14:schemeClr w14:val="tx1"/>
                  </w14:solidFill>
                </w14:textFill>
              </w:rPr>
              <w:t>谈判小组构成：谈判小组由采购人代表和评审专家组成，3人或以上单数，其中经济、技术等方面的专家不少于成员总数的三分之二。</w:t>
            </w:r>
          </w:p>
          <w:p w14:paraId="621C0256">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18" w:name="_Toc4065"/>
            <w:bookmarkEnd w:id="418"/>
            <w:bookmarkStart w:id="419" w:name="_Toc749"/>
            <w:bookmarkEnd w:id="419"/>
            <w:bookmarkStart w:id="420" w:name="_Toc4742"/>
            <w:bookmarkStart w:id="421" w:name="_Toc23184"/>
            <w:bookmarkStart w:id="422" w:name="_Toc144887226"/>
            <w:bookmarkStart w:id="423" w:name="_Toc144880836"/>
            <w:r>
              <w:rPr>
                <w:rFonts w:hint="eastAsia"/>
                <w:color w:val="000000" w:themeColor="text1"/>
                <w:highlight w:val="none"/>
                <w14:textFill>
                  <w14:solidFill>
                    <w14:schemeClr w14:val="tx1"/>
                  </w14:solidFill>
                </w14:textFill>
              </w:rPr>
              <w:t>评标专家确定方式：从安徽省综合评标评审专家库中随机</w:t>
            </w:r>
            <w:r>
              <w:rPr>
                <w:rFonts w:hint="eastAsia"/>
                <w:color w:val="000000" w:themeColor="text1"/>
                <w:highlight w:val="none"/>
                <w:lang w:eastAsia="zh-CN"/>
                <w14:textFill>
                  <w14:solidFill>
                    <w14:schemeClr w14:val="tx1"/>
                  </w14:solidFill>
                </w14:textFill>
              </w:rPr>
              <w:t>选</w:t>
            </w:r>
            <w:r>
              <w:rPr>
                <w:rFonts w:hint="eastAsia"/>
                <w:color w:val="000000" w:themeColor="text1"/>
                <w:highlight w:val="none"/>
                <w14:textFill>
                  <w14:solidFill>
                    <w14:schemeClr w14:val="tx1"/>
                  </w14:solidFill>
                </w14:textFill>
              </w:rPr>
              <w:t>取</w:t>
            </w:r>
            <w:bookmarkEnd w:id="420"/>
            <w:bookmarkEnd w:id="421"/>
            <w:bookmarkEnd w:id="422"/>
            <w:bookmarkEnd w:id="423"/>
          </w:p>
        </w:tc>
      </w:tr>
      <w:tr w14:paraId="58261378">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06CF0A5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24" w:name="_Toc22056"/>
            <w:bookmarkStart w:id="425" w:name="_Toc28203"/>
            <w:bookmarkStart w:id="426" w:name="_Toc144887227"/>
            <w:bookmarkStart w:id="427" w:name="_Toc144880837"/>
            <w:r>
              <w:rPr>
                <w:rFonts w:hint="eastAsia"/>
                <w:color w:val="000000" w:themeColor="text1"/>
                <w:highlight w:val="none"/>
                <w14:textFill>
                  <w14:solidFill>
                    <w14:schemeClr w14:val="tx1"/>
                  </w14:solidFill>
                </w14:textFill>
              </w:rPr>
              <w:t>3</w:t>
            </w:r>
            <w:bookmarkEnd w:id="424"/>
            <w:bookmarkEnd w:id="425"/>
            <w:r>
              <w:rPr>
                <w:rFonts w:hint="eastAsia"/>
                <w:color w:val="000000" w:themeColor="text1"/>
                <w:highlight w:val="none"/>
                <w14:textFill>
                  <w14:solidFill>
                    <w14:schemeClr w14:val="tx1"/>
                  </w14:solidFill>
                </w14:textFill>
              </w:rPr>
              <w:t>1</w:t>
            </w:r>
            <w:bookmarkEnd w:id="426"/>
            <w:bookmarkEnd w:id="427"/>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5CA1110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28" w:name="_Toc26722"/>
            <w:bookmarkEnd w:id="428"/>
            <w:bookmarkStart w:id="429" w:name="_Toc5049"/>
            <w:bookmarkEnd w:id="429"/>
            <w:bookmarkStart w:id="430" w:name="_Toc26546"/>
            <w:bookmarkEnd w:id="430"/>
            <w:bookmarkStart w:id="431" w:name="_Toc20317"/>
            <w:bookmarkEnd w:id="431"/>
            <w:bookmarkStart w:id="432" w:name="_Toc11671"/>
            <w:bookmarkStart w:id="433" w:name="_Toc144887228"/>
            <w:bookmarkStart w:id="434" w:name="_Toc144880838"/>
            <w:bookmarkStart w:id="435" w:name="_Toc3698"/>
            <w:r>
              <w:rPr>
                <w:rFonts w:hint="eastAsia"/>
                <w:color w:val="000000" w:themeColor="text1"/>
                <w:highlight w:val="none"/>
                <w14:textFill>
                  <w14:solidFill>
                    <w14:schemeClr w14:val="tx1"/>
                  </w14:solidFill>
                </w14:textFill>
              </w:rPr>
              <w:t>确定成交供应商</w:t>
            </w:r>
            <w:bookmarkEnd w:id="432"/>
            <w:bookmarkEnd w:id="433"/>
            <w:bookmarkEnd w:id="434"/>
            <w:bookmarkEnd w:id="435"/>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4ACF9688">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36" w:name="_Toc25195"/>
            <w:bookmarkEnd w:id="436"/>
            <w:bookmarkStart w:id="437" w:name="_Toc21612"/>
            <w:bookmarkEnd w:id="437"/>
            <w:bookmarkStart w:id="438" w:name="_Toc26552"/>
            <w:bookmarkEnd w:id="438"/>
            <w:bookmarkStart w:id="439" w:name="_Toc21775"/>
            <w:bookmarkEnd w:id="439"/>
            <w:bookmarkStart w:id="440" w:name="_Toc144880839"/>
            <w:bookmarkStart w:id="441" w:name="_Toc144887229"/>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采购人授权谈判小组确定</w:t>
            </w:r>
            <w:bookmarkEnd w:id="440"/>
            <w:bookmarkEnd w:id="441"/>
          </w:p>
          <w:p w14:paraId="6650516B">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42" w:name="_Toc144880840"/>
            <w:bookmarkStart w:id="443" w:name="_Toc144887230"/>
            <w:r>
              <w:rPr>
                <w:rFonts w:hint="eastAsia"/>
                <w:color w:val="000000" w:themeColor="text1"/>
                <w:highlight w:val="none"/>
                <w14:textFill>
                  <w14:solidFill>
                    <w14:schemeClr w14:val="tx1"/>
                  </w14:solidFill>
                </w14:textFill>
              </w:rPr>
              <w:t>□采购人确定</w:t>
            </w:r>
            <w:bookmarkEnd w:id="442"/>
            <w:bookmarkEnd w:id="443"/>
          </w:p>
        </w:tc>
      </w:tr>
      <w:tr w14:paraId="51060484">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04CEE2B8">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44" w:name="_Toc19763"/>
            <w:bookmarkStart w:id="445" w:name="_Toc19570"/>
            <w:bookmarkStart w:id="446" w:name="_Toc144880841"/>
            <w:bookmarkStart w:id="447" w:name="_Toc144887231"/>
            <w:r>
              <w:rPr>
                <w:rFonts w:hint="eastAsia"/>
                <w:color w:val="000000" w:themeColor="text1"/>
                <w:highlight w:val="none"/>
                <w14:textFill>
                  <w14:solidFill>
                    <w14:schemeClr w14:val="tx1"/>
                  </w14:solidFill>
                </w14:textFill>
              </w:rPr>
              <w:t>3</w:t>
            </w:r>
            <w:bookmarkEnd w:id="444"/>
            <w:bookmarkEnd w:id="445"/>
            <w:r>
              <w:rPr>
                <w:rFonts w:hint="eastAsia"/>
                <w:color w:val="000000" w:themeColor="text1"/>
                <w:highlight w:val="none"/>
                <w14:textFill>
                  <w14:solidFill>
                    <w14:schemeClr w14:val="tx1"/>
                  </w14:solidFill>
                </w14:textFill>
              </w:rPr>
              <w:t>2</w:t>
            </w:r>
            <w:bookmarkEnd w:id="446"/>
            <w:bookmarkEnd w:id="447"/>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6DA5209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48" w:name="_Toc144887232"/>
            <w:bookmarkStart w:id="449" w:name="_Toc13978"/>
            <w:bookmarkStart w:id="450" w:name="_Toc15840"/>
            <w:bookmarkStart w:id="451" w:name="_Toc144880842"/>
            <w:r>
              <w:rPr>
                <w:rFonts w:hint="eastAsia"/>
                <w:color w:val="000000" w:themeColor="text1"/>
                <w:highlight w:val="none"/>
                <w14:textFill>
                  <w14:solidFill>
                    <w14:schemeClr w14:val="tx1"/>
                  </w14:solidFill>
                </w14:textFill>
              </w:rPr>
              <w:t>最高限价</w:t>
            </w:r>
            <w:bookmarkEnd w:id="448"/>
            <w:bookmarkEnd w:id="449"/>
            <w:bookmarkEnd w:id="450"/>
            <w:bookmarkEnd w:id="451"/>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4E86D10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52" w:name="_Toc144880843"/>
            <w:bookmarkStart w:id="453" w:name="_Toc144887233"/>
            <w:bookmarkStart w:id="454" w:name="_Toc5636"/>
            <w:bookmarkStart w:id="455" w:name="_Toc28554"/>
            <w:r>
              <w:rPr>
                <w:rFonts w:hint="eastAsia"/>
                <w:color w:val="000000" w:themeColor="text1"/>
                <w:highlight w:val="none"/>
                <w:lang w:val="en-US" w:eastAsia="zh-CN"/>
                <w14:textFill>
                  <w14:solidFill>
                    <w14:schemeClr w14:val="tx1"/>
                  </w14:solidFill>
                </w14:textFill>
              </w:rPr>
              <w:t>280000.00元</w:t>
            </w:r>
            <w:r>
              <w:rPr>
                <w:rFonts w:hint="eastAsia"/>
                <w:color w:val="000000" w:themeColor="text1"/>
                <w:highlight w:val="none"/>
                <w14:textFill>
                  <w14:solidFill>
                    <w14:schemeClr w14:val="tx1"/>
                  </w14:solidFill>
                </w14:textFill>
              </w:rPr>
              <w:t>（超过此限价按无效标处理）</w:t>
            </w:r>
            <w:bookmarkEnd w:id="452"/>
            <w:bookmarkEnd w:id="453"/>
            <w:bookmarkEnd w:id="454"/>
            <w:bookmarkEnd w:id="455"/>
          </w:p>
        </w:tc>
      </w:tr>
      <w:tr w14:paraId="4313A139">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0110CDE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56" w:name="_Toc16525"/>
            <w:bookmarkStart w:id="457" w:name="_Toc13221"/>
            <w:bookmarkStart w:id="458" w:name="_Toc144887234"/>
            <w:bookmarkStart w:id="459" w:name="_Toc144880844"/>
            <w:r>
              <w:rPr>
                <w:rFonts w:hint="eastAsia"/>
                <w:color w:val="000000" w:themeColor="text1"/>
                <w:highlight w:val="none"/>
                <w14:textFill>
                  <w14:solidFill>
                    <w14:schemeClr w14:val="tx1"/>
                  </w14:solidFill>
                </w14:textFill>
              </w:rPr>
              <w:t>3</w:t>
            </w:r>
            <w:bookmarkEnd w:id="456"/>
            <w:bookmarkEnd w:id="457"/>
            <w:r>
              <w:rPr>
                <w:rFonts w:hint="eastAsia"/>
                <w:color w:val="000000" w:themeColor="text1"/>
                <w:highlight w:val="none"/>
                <w14:textFill>
                  <w14:solidFill>
                    <w14:schemeClr w14:val="tx1"/>
                  </w14:solidFill>
                </w14:textFill>
              </w:rPr>
              <w:t>3</w:t>
            </w:r>
            <w:bookmarkEnd w:id="458"/>
            <w:bookmarkEnd w:id="459"/>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20C8325C">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促进中小企业发展政策</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4E140F2D">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1.依据《安徽省财政厅 安徽省经济和信息化厅转发财政部 工业和信息化部关于印发〈政府采购促进中小企业发展管理办法〉的通知》（皖财购〔2020〕1668号）规定</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政府采购活动中，供应商提供的服务符合下列情形的，享受本办法规定的中小企业扶持政策：在服务采购项目中，服务由中小企业承接，即提供服务的人员为中小企业依照《中华人民共和国劳动合同法》订立劳动合同的从业人员。</w:t>
            </w:r>
          </w:p>
          <w:p w14:paraId="2195C980">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938F86D">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2.中小企业应当在响应文件中提供谈判文件规定格式的《中小企业声明函》，并对其真实性负责。《中小企业声明函》将随成交公告一并公示接受监督，一旦发现弄虚作假，全部责任由供应商自负。</w:t>
            </w:r>
          </w:p>
          <w:p w14:paraId="4588E5C7">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3.依据《安徽省财政厅 安徽省经济和信息化厅转发财政部 工业和信息化部关于印发〈政府采购促进中小企业发展管理办法〉的通知》（皖财购〔2020〕1668号）、《安徽省财政厅关于进一步优化政府采购营商环境的通知》（皖财购〔2022〕556号）规定，本项目专门面向中小企业采购，不对小微企业报价给予扣除参加评审。</w:t>
            </w:r>
          </w:p>
          <w:p w14:paraId="4917F62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4.依据《财政部 司法部关于政府采购支持监狱企业发展有关问题的通知》（财库〔2014〕68号）规定，监狱企业视同小型、微型企业享受预留份额、评审中价格扣除等政府采购促进中小企业发展的政府采购政策。监狱企业参加政府采购活动时，提供由省级以上监狱管理局、戒毒管理局（含新疆生产建设兵团）出具的属于监狱企业的证明文件。</w:t>
            </w:r>
          </w:p>
          <w:p w14:paraId="611268C9">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5.依据《财政部 民政部 中国残疾人联合会关于促进残疾人就业政府采购政策的通知》（财库〔2017〕141号）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tc>
      </w:tr>
      <w:tr w14:paraId="33191B53">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06D4890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60" w:name="_Toc144887235"/>
            <w:bookmarkStart w:id="461" w:name="_Toc144880845"/>
            <w:r>
              <w:rPr>
                <w:rFonts w:hint="eastAsia"/>
                <w:color w:val="000000" w:themeColor="text1"/>
                <w:highlight w:val="none"/>
                <w14:textFill>
                  <w14:solidFill>
                    <w14:schemeClr w14:val="tx1"/>
                  </w14:solidFill>
                </w14:textFill>
              </w:rPr>
              <w:t>34</w:t>
            </w:r>
            <w:bookmarkEnd w:id="460"/>
            <w:bookmarkEnd w:id="461"/>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4529332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询标</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79A6867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投标供应商开标过程中，不要走远。在规定时间内（30分钟）完成答复。如因供应商原因造成未及时回复，供应商自行承担一切后果。如遇询标30分钟内未回复，由</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小组决定。</w:t>
            </w:r>
          </w:p>
        </w:tc>
      </w:tr>
      <w:tr w14:paraId="7FD4AC2F">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377C15A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62" w:name="_Toc144887236"/>
            <w:bookmarkStart w:id="463" w:name="_Toc144880846"/>
            <w:r>
              <w:rPr>
                <w:rFonts w:hint="eastAsia"/>
                <w:color w:val="000000" w:themeColor="text1"/>
                <w:highlight w:val="none"/>
                <w14:textFill>
                  <w14:solidFill>
                    <w14:schemeClr w14:val="tx1"/>
                  </w14:solidFill>
                </w14:textFill>
              </w:rPr>
              <w:t>35</w:t>
            </w:r>
            <w:bookmarkEnd w:id="462"/>
            <w:bookmarkEnd w:id="463"/>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3602BD9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成交通知书发出的形式</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390B197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☑书面 □数据电文，在线发放</w:t>
            </w:r>
          </w:p>
        </w:tc>
      </w:tr>
      <w:tr w14:paraId="13607330">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0EC8A59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1BF687A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成交结果公告</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5B5113A8">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公告方式：在发布谈判公告的媒介上发布本项目成交结果公告；</w:t>
            </w:r>
          </w:p>
          <w:p w14:paraId="2AB2B2A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公告内容：采购人及采购代理机构的名称、地址、联系方式，项目名称和项目编号，成交人名称、地址和中标金额等。</w:t>
            </w:r>
          </w:p>
          <w:p w14:paraId="1D36CD6D">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成交结果公告期限：1个工作日。</w:t>
            </w:r>
          </w:p>
        </w:tc>
      </w:tr>
      <w:tr w14:paraId="349FFB21">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6D5CEFA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3326209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合同签订</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196B1BC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自中标（成交）通知书发出之日起</w:t>
            </w:r>
            <w:r>
              <w:rPr>
                <w:rFonts w:hint="eastAsia"/>
                <w:color w:val="000000" w:themeColor="text1"/>
                <w:highlight w:val="none"/>
                <w:lang w:eastAsia="zh-CN"/>
                <w14:textFill>
                  <w14:solidFill>
                    <w14:schemeClr w14:val="tx1"/>
                  </w14:solidFill>
                </w14:textFill>
              </w:rPr>
              <w:t>30日</w:t>
            </w:r>
            <w:r>
              <w:rPr>
                <w:rFonts w:hint="eastAsia"/>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（具体时间、地点见中标（成交）通知书）与采购人签订合同。无正当理由不得拒绝或者拖延合同签订。</w:t>
            </w:r>
          </w:p>
        </w:tc>
      </w:tr>
      <w:tr w14:paraId="7B1BB81C">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296D73B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64" w:name="_Toc144887237"/>
            <w:bookmarkStart w:id="465" w:name="_Toc144880847"/>
            <w:r>
              <w:rPr>
                <w:rFonts w:hint="eastAsia"/>
                <w:color w:val="000000" w:themeColor="text1"/>
                <w:highlight w:val="none"/>
                <w14:textFill>
                  <w14:solidFill>
                    <w14:schemeClr w14:val="tx1"/>
                  </w14:solidFill>
                </w14:textFill>
              </w:rPr>
              <w:t>38</w:t>
            </w:r>
            <w:bookmarkEnd w:id="464"/>
            <w:bookmarkEnd w:id="465"/>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1FEFD2DC">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66" w:name="_Toc144887238"/>
            <w:bookmarkStart w:id="467" w:name="_Toc144880848"/>
            <w:r>
              <w:rPr>
                <w:rFonts w:hint="eastAsia"/>
                <w:color w:val="000000" w:themeColor="text1"/>
                <w:highlight w:val="none"/>
                <w14:textFill>
                  <w14:solidFill>
                    <w14:schemeClr w14:val="tx1"/>
                  </w14:solidFill>
                </w14:textFill>
              </w:rPr>
              <w:t>履约担保</w:t>
            </w:r>
            <w:bookmarkEnd w:id="466"/>
            <w:bookmarkEnd w:id="467"/>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498D2A72">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免收</w:t>
            </w:r>
          </w:p>
          <w:p w14:paraId="66DB456D">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（按下列标准收取</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5ECB783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1.金额：合同价的</w:t>
            </w:r>
            <w:r>
              <w:rPr>
                <w:rFonts w:hint="eastAsia"/>
                <w:color w:val="000000" w:themeColor="text1"/>
                <w:highlight w:val="none"/>
                <w:u w:val="single"/>
                <w14:textFill>
                  <w14:solidFill>
                    <w14:schemeClr w14:val="tx1"/>
                  </w14:solidFill>
                </w14:textFill>
              </w:rPr>
              <w:t xml:space="preserve">  2  </w:t>
            </w:r>
            <w:r>
              <w:rPr>
                <w:rFonts w:hint="eastAsia"/>
                <w:color w:val="000000" w:themeColor="text1"/>
                <w:highlight w:val="none"/>
                <w14:textFill>
                  <w14:solidFill>
                    <w14:schemeClr w14:val="tx1"/>
                  </w14:solidFill>
                </w14:textFill>
              </w:rPr>
              <w:t>%。</w:t>
            </w:r>
          </w:p>
          <w:p w14:paraId="4120A96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2.履约保证金的形式：保函、保证保险、银行转账、网银支付等方式。</w:t>
            </w:r>
          </w:p>
          <w:p w14:paraId="6693881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采用担保机构担保，全国范围内合法的融资担保公司、应为省级地方金融监督管理局备案的融资担保机构出具的无条件担保均可提供担保，其他非经地方金融监管局批准设立的融资担保公司，个人担保，企业单位，一律不得作为提供担保的依据。</w:t>
            </w:r>
          </w:p>
          <w:p w14:paraId="364E7F1E">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3.收取单位：采购人</w:t>
            </w:r>
          </w:p>
          <w:p w14:paraId="7912286B">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4.递交时间：成交供应商应在中标通知书发出后，合同签订前，按照采购文件规定方式提交履约保证金。否则，采购人可以拒绝签订采购合同。</w:t>
            </w:r>
          </w:p>
          <w:p w14:paraId="5D4EB81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5.成交供应商信誉度较好或服务过招标人且口碑较好，经采购人认可，可免收履约保证金。</w:t>
            </w:r>
          </w:p>
          <w:p w14:paraId="42FA486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6.退还：签订政府采购合同时双方友好协商约定。</w:t>
            </w:r>
          </w:p>
        </w:tc>
      </w:tr>
      <w:tr w14:paraId="53D39A74">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59A756B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68" w:name="_Toc144880849"/>
            <w:bookmarkStart w:id="469" w:name="_Toc144887239"/>
            <w:r>
              <w:rPr>
                <w:rFonts w:hint="eastAsia"/>
                <w:color w:val="000000" w:themeColor="text1"/>
                <w:highlight w:val="none"/>
                <w14:textFill>
                  <w14:solidFill>
                    <w14:schemeClr w14:val="tx1"/>
                  </w14:solidFill>
                </w14:textFill>
              </w:rPr>
              <w:t>39</w:t>
            </w:r>
            <w:bookmarkEnd w:id="468"/>
            <w:bookmarkEnd w:id="469"/>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661D9CE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70" w:name="_Toc144887240"/>
            <w:bookmarkStart w:id="471" w:name="_Toc144880850"/>
            <w:r>
              <w:rPr>
                <w:rFonts w:hint="eastAsia"/>
                <w:color w:val="000000" w:themeColor="text1"/>
                <w:highlight w:val="none"/>
                <w14:textFill>
                  <w14:solidFill>
                    <w14:schemeClr w14:val="tx1"/>
                  </w14:solidFill>
                </w14:textFill>
              </w:rPr>
              <w:t>代理服务费</w:t>
            </w:r>
            <w:bookmarkEnd w:id="470"/>
            <w:bookmarkEnd w:id="471"/>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5145988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按下列标准收取：</w:t>
            </w:r>
          </w:p>
          <w:tbl>
            <w:tblPr>
              <w:tblStyle w:val="26"/>
              <w:tblW w:w="5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4"/>
              <w:gridCol w:w="1574"/>
            </w:tblGrid>
            <w:tr w14:paraId="16C4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74" w:type="dxa"/>
                  <w:shd w:val="clear" w:color="auto" w:fill="FFFFFF"/>
                  <w:noWrap w:val="0"/>
                  <w:vAlign w:val="top"/>
                </w:tcPr>
                <w:p w14:paraId="7BDBE3C7">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中标金额（万元）</w:t>
                  </w:r>
                </w:p>
              </w:tc>
              <w:tc>
                <w:tcPr>
                  <w:tcW w:w="1574" w:type="dxa"/>
                  <w:shd w:val="clear" w:color="auto" w:fill="FFFFFF"/>
                  <w:noWrap w:val="0"/>
                  <w:vAlign w:val="top"/>
                </w:tcPr>
                <w:p w14:paraId="670AAE9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服务</w:t>
                  </w:r>
                </w:p>
              </w:tc>
            </w:tr>
            <w:tr w14:paraId="5466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074" w:type="dxa"/>
                  <w:noWrap w:val="0"/>
                  <w:vAlign w:val="top"/>
                </w:tcPr>
                <w:p w14:paraId="36D62E10">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100以下</w:t>
                  </w:r>
                </w:p>
              </w:tc>
              <w:tc>
                <w:tcPr>
                  <w:tcW w:w="1574" w:type="dxa"/>
                  <w:noWrap w:val="0"/>
                  <w:vAlign w:val="top"/>
                </w:tcPr>
                <w:p w14:paraId="35A53329">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r>
          </w:tbl>
          <w:p w14:paraId="1383E3E6">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招标代理服务收费按差额定率累进法计算。</w:t>
            </w:r>
          </w:p>
          <w:p w14:paraId="3ADA529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代理服务费收费标准，（</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）如中标价在100万以内，则代理费=中标价×1.5%（</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）如代理费计算低于3000元的按3000元支付，代理服务费及专家评审费用由成交供应商签订合同前一次性支付给代理机构。</w:t>
            </w:r>
          </w:p>
          <w:p w14:paraId="02467B68">
            <w:pPr>
              <w:keepNext w:val="0"/>
              <w:keepLines w:val="0"/>
              <w:pageBreakBefore w:val="0"/>
              <w:widowControl w:val="0"/>
              <w:kinsoku/>
              <w:wordWrap w:val="0"/>
              <w:overflowPunct/>
              <w:topLinePunct/>
              <w:autoSpaceDE/>
              <w:autoSpaceDN/>
              <w:bidi w:val="0"/>
              <w:adjustRightInd/>
              <w:snapToGrid/>
              <w:spacing w:line="40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2、支付方式：</w:t>
            </w:r>
            <w:r>
              <w:rPr>
                <w:rFonts w:hint="eastAsia"/>
                <w:color w:val="000000" w:themeColor="text1"/>
                <w:highlight w:val="none"/>
                <w:u w:val="single"/>
                <w14:textFill>
                  <w14:solidFill>
                    <w14:schemeClr w14:val="tx1"/>
                  </w14:solidFill>
                </w14:textFill>
              </w:rPr>
              <w:t xml:space="preserve">  转账或现金</w:t>
            </w:r>
            <w:r>
              <w:rPr>
                <w:rFonts w:hint="eastAsia"/>
                <w:color w:val="000000" w:themeColor="text1"/>
                <w:highlight w:val="none"/>
                <w:u w:val="single"/>
                <w:lang w:val="en-US" w:eastAsia="zh-CN"/>
                <w14:textFill>
                  <w14:solidFill>
                    <w14:schemeClr w14:val="tx1"/>
                  </w14:solidFill>
                </w14:textFill>
              </w:rPr>
              <w:t xml:space="preserve">  </w:t>
            </w:r>
          </w:p>
          <w:p w14:paraId="643292B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3、收取单位：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采购代理机构</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4309D27E">
            <w:pPr>
              <w:keepNext w:val="0"/>
              <w:keepLines w:val="0"/>
              <w:pageBreakBefore w:val="0"/>
              <w:widowControl w:val="0"/>
              <w:kinsoku/>
              <w:wordWrap w:val="0"/>
              <w:overflowPunct/>
              <w:topLinePunct/>
              <w:autoSpaceDE/>
              <w:autoSpaceDN/>
              <w:bidi w:val="0"/>
              <w:adjustRightInd/>
              <w:snapToGrid/>
              <w:spacing w:line="40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4、递交时间：</w:t>
            </w:r>
            <w:r>
              <w:rPr>
                <w:rFonts w:hint="eastAsia"/>
                <w:color w:val="000000" w:themeColor="text1"/>
                <w:highlight w:val="none"/>
                <w:u w:val="single"/>
                <w14:textFill>
                  <w14:solidFill>
                    <w14:schemeClr w14:val="tx1"/>
                  </w14:solidFill>
                </w14:textFill>
              </w:rPr>
              <w:t xml:space="preserve">  公示结束后合同公开前</w:t>
            </w:r>
            <w:r>
              <w:rPr>
                <w:rFonts w:hint="eastAsia"/>
                <w:color w:val="000000" w:themeColor="text1"/>
                <w:highlight w:val="none"/>
                <w:u w:val="single"/>
                <w:lang w:val="en-US" w:eastAsia="zh-CN"/>
                <w14:textFill>
                  <w14:solidFill>
                    <w14:schemeClr w14:val="tx1"/>
                  </w14:solidFill>
                </w14:textFill>
              </w:rPr>
              <w:t xml:space="preserve">  </w:t>
            </w:r>
          </w:p>
        </w:tc>
      </w:tr>
      <w:tr w14:paraId="79C69D65">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00276DC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72" w:name="_Toc144887241"/>
            <w:bookmarkStart w:id="473" w:name="_Toc144880851"/>
            <w:r>
              <w:rPr>
                <w:rFonts w:hint="eastAsia"/>
                <w:color w:val="000000" w:themeColor="text1"/>
                <w:highlight w:val="none"/>
                <w14:textFill>
                  <w14:solidFill>
                    <w14:schemeClr w14:val="tx1"/>
                  </w14:solidFill>
                </w14:textFill>
              </w:rPr>
              <w:t>40</w:t>
            </w:r>
            <w:bookmarkEnd w:id="472"/>
            <w:bookmarkEnd w:id="473"/>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380866E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付款方式</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645F4E8D">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合同签订确定后供应商在完成服务并验收合格后，支付合同价款的100%。</w:t>
            </w:r>
          </w:p>
        </w:tc>
      </w:tr>
      <w:tr w14:paraId="6DBB5BBC">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249BF728">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74" w:name="_Toc144887244"/>
            <w:bookmarkStart w:id="475" w:name="_Toc144880854"/>
            <w:r>
              <w:rPr>
                <w:rFonts w:hint="eastAsia"/>
                <w:color w:val="000000" w:themeColor="text1"/>
                <w:highlight w:val="none"/>
                <w14:textFill>
                  <w14:solidFill>
                    <w14:schemeClr w14:val="tx1"/>
                  </w14:solidFill>
                </w14:textFill>
              </w:rPr>
              <w:t>41</w:t>
            </w:r>
            <w:bookmarkEnd w:id="474"/>
            <w:bookmarkEnd w:id="475"/>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4EB28D4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信誉要求</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3055A28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供应商按照要求提供网站的信誉查询截图或提供承诺书。</w:t>
            </w:r>
          </w:p>
          <w:p w14:paraId="53946413">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1.在投标截止时间前，未被最高人民法院在“中国执行信息公开网”网站（http://zxgk.court.gov.cn）列为失信被执行人（可提供“中国执行信息公开网”－“失信被执行人”查询截图，无失信被执行人惩戒信息）；</w:t>
            </w:r>
          </w:p>
          <w:p w14:paraId="3180B59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投标截止时间前，未被国家市场监督管理部门在国家企业信用信息公示系统（www.gsxt.gov.cn）中列入严重违法失信企业名单。（可提供供应商在国家企业信用信息公示系统网页查询截图，严重违法失信一栏中无不良记录）。</w:t>
            </w:r>
          </w:p>
          <w:p w14:paraId="74893C85">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投标截止时间前，未被中国政府采购网（www.ccgp.gov.cn）列入“政府采购严重违法失信行为记录名单”（可提供中国政府采购网政府采购严重违法失信行为记录名单企业查询网页截图，或者“中国执行信息公开网（</w:t>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"http://zxgk.court.gov.cn/"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http://zxgk.court.gov.cn/</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）”－“信用中国”－“政府采购严重违法失信行为记录名单”的网页查询截图）。</w:t>
            </w:r>
          </w:p>
        </w:tc>
      </w:tr>
      <w:tr w14:paraId="5FCCA75C">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75BBBCD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bookmarkStart w:id="476" w:name="_Toc144880855"/>
            <w:bookmarkStart w:id="477" w:name="_Toc144887245"/>
            <w:r>
              <w:rPr>
                <w:rFonts w:hint="eastAsia"/>
                <w:color w:val="000000" w:themeColor="text1"/>
                <w:highlight w:val="none"/>
                <w14:textFill>
                  <w14:solidFill>
                    <w14:schemeClr w14:val="tx1"/>
                  </w14:solidFill>
                </w14:textFill>
              </w:rPr>
              <w:t>42</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0589C1D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知识产权</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top"/>
          </w:tcPr>
          <w:p w14:paraId="73B37075">
            <w:pPr>
              <w:keepNext w:val="0"/>
              <w:keepLines w:val="0"/>
              <w:pageBreakBefore w:val="0"/>
              <w:widowControl w:val="0"/>
              <w:kinsoku/>
              <w:wordWrap w:val="0"/>
              <w:overflowPunct/>
              <w:topLinePunct/>
              <w:autoSpaceDE/>
              <w:autoSpaceDN/>
              <w:bidi w:val="0"/>
              <w:adjustRightInd/>
              <w:snapToGrid/>
              <w:spacing w:line="400" w:lineRule="exac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1.构成本谈判文件各个组成部分的文件，未经采购人书面同意，投标供应商不得擅自复印和用于非本招标项目所需的其他目的。如因此导致采购人损失的，投标供应商须承担全部赔偿责任。</w:t>
            </w:r>
          </w:p>
          <w:p w14:paraId="65D54E6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采购人在中华人民共和国境内使用中标货物（服务）、资料、技术、服务或其任何一部分时，履行合同义务后，享有不受限制的无偿使用权，不会产生因第三方提出侵犯其专利权、商标权或其他知识产权而引起的法律或经济纠纷。如投标供应商不拥有相应的知识产权，则在投标报价中必须包括合法获取该知识产权的一切相关费用。如因此导致采购人损失的，供应商须承担全部赔偿责任。</w:t>
            </w:r>
          </w:p>
        </w:tc>
      </w:tr>
      <w:bookmarkEnd w:id="476"/>
      <w:bookmarkEnd w:id="477"/>
      <w:tr w14:paraId="15AD7336">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3252C4D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64F9E54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其他注意事项</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72E21C5D">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.合同签订后，成交供应商在规定时间内不履行服务义务等情况，采购人有权解除合同，并追究违约责任，同时将相关违约行为报送监管部门，记不良行为记录，实施信用惩戒。</w:t>
            </w:r>
          </w:p>
          <w:p w14:paraId="28253684">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.成交供应商在项目成交后发生投诉、信访举报案件、履约存在争议时，拒绝协助配合执法部门调查案件的，采购人可以报请采购监管部门取消其成交资格或解除合同，并追究其违约责任。</w:t>
            </w:r>
          </w:p>
        </w:tc>
      </w:tr>
      <w:tr w14:paraId="50EBD1B7">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7031CAE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3D0376D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其他要求</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79A8B36C">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文件的解释权归采购人所有，由采购人负责解释。</w:t>
            </w:r>
          </w:p>
          <w:p w14:paraId="1888922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.如</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文件中出现前后不一致的描述，解释优先顺序依次为供应商须知前附表＞评标办法＞</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文件其他内容。</w:t>
            </w:r>
          </w:p>
          <w:p w14:paraId="21E54943">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3.严格贯彻落实国家关于节能环保、进口产品管理和促进中小型企业发展等政府采购政策。</w:t>
            </w:r>
          </w:p>
          <w:p w14:paraId="454D3811">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.法定代表人（单位负责人）为同一个人的两个及两个以上法人（单位负责人）母公司、全资子公司及其控股公司，不得同时参与投标。</w:t>
            </w:r>
          </w:p>
          <w:p w14:paraId="719CD19A">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投标供应商根据项目预算，结合自身及市场情况，参考相关标准及投标相关费用自行报价，如投标供应商恶意竞争低价中标造成项目中标后无法履行或所提供服务不符合要求，采购人有权拒绝验收并解除合同，重新采购。同时上报政府采购监管部门处理。</w:t>
            </w:r>
          </w:p>
        </w:tc>
      </w:tr>
      <w:tr w14:paraId="572D5174">
        <w:tblPrEx>
          <w:tblCellMar>
            <w:top w:w="0" w:type="dxa"/>
            <w:left w:w="0" w:type="dxa"/>
            <w:bottom w:w="0" w:type="dxa"/>
            <w:right w:w="0" w:type="dxa"/>
          </w:tblCellMar>
        </w:tblPrEx>
        <w:trPr>
          <w:trHeight w:val="0" w:hRule="atLeast"/>
          <w:jc w:val="center"/>
        </w:trPr>
        <w:tc>
          <w:tcPr>
            <w:tcW w:w="674" w:type="dxa"/>
            <w:tcBorders>
              <w:top w:val="single" w:color="auto" w:sz="4" w:space="0"/>
              <w:left w:val="single" w:color="000000" w:sz="4" w:space="0"/>
              <w:bottom w:val="single" w:color="auto" w:sz="4" w:space="0"/>
              <w:right w:val="single" w:color="000000" w:sz="4" w:space="0"/>
            </w:tcBorders>
            <w:vAlign w:val="center"/>
          </w:tcPr>
          <w:p w14:paraId="689A925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w:t>
            </w:r>
          </w:p>
        </w:tc>
        <w:tc>
          <w:tcPr>
            <w:tcW w:w="2040" w:type="dxa"/>
            <w:tcBorders>
              <w:top w:val="single" w:color="auto" w:sz="4" w:space="0"/>
              <w:left w:val="single" w:color="000000" w:sz="4" w:space="0"/>
              <w:bottom w:val="single" w:color="auto" w:sz="4" w:space="0"/>
              <w:right w:val="single" w:color="000000" w:sz="4" w:space="0"/>
            </w:tcBorders>
            <w:shd w:val="clear" w:color="auto" w:fill="auto"/>
            <w:vAlign w:val="center"/>
          </w:tcPr>
          <w:p w14:paraId="0B2A199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所属行业分类</w:t>
            </w:r>
          </w:p>
        </w:tc>
        <w:tc>
          <w:tcPr>
            <w:tcW w:w="7794" w:type="dxa"/>
            <w:tcBorders>
              <w:top w:val="single" w:color="auto" w:sz="4" w:space="0"/>
              <w:left w:val="single" w:color="000000" w:sz="4" w:space="0"/>
              <w:bottom w:val="single" w:color="auto" w:sz="4" w:space="0"/>
              <w:right w:val="single" w:color="000000" w:sz="4" w:space="0"/>
            </w:tcBorders>
            <w:shd w:val="clear" w:color="auto" w:fill="auto"/>
            <w:vAlign w:val="center"/>
          </w:tcPr>
          <w:p w14:paraId="289A3F86">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本项目为</w:t>
            </w:r>
            <w:r>
              <w:rPr>
                <w:rFonts w:hint="eastAsia"/>
                <w:color w:val="000000" w:themeColor="text1"/>
                <w:highlight w:val="none"/>
                <w:u w:val="single"/>
                <w14:textFill>
                  <w14:solidFill>
                    <w14:schemeClr w14:val="tx1"/>
                  </w14:solidFill>
                </w14:textFill>
              </w:rPr>
              <w:t xml:space="preserve"> 政府采购服务 </w:t>
            </w:r>
            <w:r>
              <w:rPr>
                <w:rFonts w:hint="eastAsia"/>
                <w:color w:val="000000" w:themeColor="text1"/>
                <w:highlight w:val="none"/>
                <w14:textFill>
                  <w14:solidFill>
                    <w14:schemeClr w14:val="tx1"/>
                  </w14:solidFill>
                </w14:textFill>
              </w:rPr>
              <w:t>类，根据《工业和信息化部、国家统计局、国家发展和改革委员会、财政部关于印发中小企业划型标准规定的通知》（工信部联企业〔2011〕300号）规定的划分标准，本项目属于</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建筑业</w:t>
            </w:r>
            <w:r>
              <w:rPr>
                <w:rFonts w:hint="eastAsia"/>
                <w:color w:val="000000" w:themeColor="text1"/>
                <w:highlight w:val="none"/>
                <w:u w:val="single"/>
                <w:lang w:val="en-US" w:eastAsia="zh-CN"/>
                <w14:textFill>
                  <w14:solidFill>
                    <w14:schemeClr w14:val="tx1"/>
                  </w14:solidFill>
                </w14:textFill>
              </w:rPr>
              <w:t xml:space="preserve"> </w:t>
            </w:r>
          </w:p>
        </w:tc>
      </w:tr>
    </w:tbl>
    <w:p w14:paraId="1D7BC78E">
      <w:pPr>
        <w:pStyle w:val="5"/>
        <w:bidi w:val="0"/>
        <w:rPr>
          <w:rFonts w:hint="eastAsia"/>
          <w:color w:val="000000" w:themeColor="text1"/>
          <w:highlight w:val="none"/>
          <w14:textFill>
            <w14:solidFill>
              <w14:schemeClr w14:val="tx1"/>
            </w14:solidFill>
          </w14:textFill>
        </w:rPr>
      </w:pPr>
      <w:bookmarkStart w:id="478" w:name="_Toc9482"/>
      <w:bookmarkEnd w:id="478"/>
      <w:bookmarkStart w:id="479" w:name="_Toc2958"/>
      <w:bookmarkEnd w:id="479"/>
      <w:bookmarkStart w:id="480" w:name="_Toc8278"/>
      <w:bookmarkEnd w:id="480"/>
      <w:bookmarkStart w:id="481" w:name="_Toc6139"/>
      <w:bookmarkEnd w:id="481"/>
      <w:bookmarkStart w:id="482" w:name="_Toc144887803"/>
      <w:bookmarkStart w:id="483" w:name="_Toc144881035"/>
      <w:bookmarkStart w:id="484" w:name="_Toc32576"/>
      <w:bookmarkStart w:id="485" w:name="_Toc5570"/>
      <w:r>
        <w:rPr>
          <w:rFonts w:hint="eastAsia"/>
          <w:color w:val="000000" w:themeColor="text1"/>
          <w:highlight w:val="none"/>
          <w14:textFill>
            <w14:solidFill>
              <w14:schemeClr w14:val="tx1"/>
            </w14:solidFill>
          </w14:textFill>
        </w:rPr>
        <w:t>注：谈判文件中如有与供应商须知前附表不一致之处，以供应商须知前附表为准。</w:t>
      </w:r>
      <w:bookmarkEnd w:id="482"/>
      <w:bookmarkEnd w:id="483"/>
      <w:bookmarkEnd w:id="484"/>
      <w:bookmarkEnd w:id="485"/>
    </w:p>
    <w:p w14:paraId="0ACC567D">
      <w:pPr>
        <w:pStyle w:val="5"/>
        <w:bidi w:val="0"/>
        <w:rPr>
          <w:rFonts w:hint="eastAsia"/>
          <w:color w:val="000000" w:themeColor="text1"/>
          <w:highlight w:val="none"/>
          <w14:textFill>
            <w14:solidFill>
              <w14:schemeClr w14:val="tx1"/>
            </w14:solidFill>
          </w14:textFill>
        </w:rPr>
      </w:pPr>
      <w:bookmarkStart w:id="486" w:name="_Toc144887247"/>
      <w:r>
        <w:rPr>
          <w:rFonts w:hint="eastAsia"/>
          <w:color w:val="000000" w:themeColor="text1"/>
          <w:highlight w:val="none"/>
          <w14:textFill>
            <w14:solidFill>
              <w14:schemeClr w14:val="tx1"/>
            </w14:solidFill>
          </w14:textFill>
        </w:rPr>
        <w:br w:type="page"/>
      </w:r>
    </w:p>
    <w:p w14:paraId="38483012">
      <w:pPr>
        <w:pStyle w:val="2"/>
        <w:bidi w:val="0"/>
        <w:rPr>
          <w:rFonts w:hint="eastAsia"/>
          <w:color w:val="000000" w:themeColor="text1"/>
          <w:highlight w:val="none"/>
          <w14:textFill>
            <w14:solidFill>
              <w14:schemeClr w14:val="tx1"/>
            </w14:solidFill>
          </w14:textFill>
        </w:rPr>
      </w:pPr>
      <w:bookmarkStart w:id="487" w:name="_Toc29666"/>
      <w:r>
        <w:rPr>
          <w:rFonts w:hint="eastAsia"/>
          <w:color w:val="000000" w:themeColor="text1"/>
          <w:highlight w:val="none"/>
          <w14:textFill>
            <w14:solidFill>
              <w14:schemeClr w14:val="tx1"/>
            </w14:solidFill>
          </w14:textFill>
        </w:rPr>
        <w:t>第三章 供应商须知</w:t>
      </w:r>
      <w:bookmarkEnd w:id="486"/>
      <w:bookmarkEnd w:id="487"/>
    </w:p>
    <w:p w14:paraId="1F496DAE">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88" w:name="_Toc16909"/>
      <w:bookmarkStart w:id="489" w:name="_Toc25850"/>
      <w:r>
        <w:rPr>
          <w:rFonts w:hint="eastAsia"/>
          <w:color w:val="000000" w:themeColor="text1"/>
          <w:highlight w:val="none"/>
          <w14:textFill>
            <w14:solidFill>
              <w14:schemeClr w14:val="tx1"/>
            </w14:solidFill>
          </w14:textFill>
        </w:rPr>
        <w:t>1.适用范围</w:t>
      </w:r>
    </w:p>
    <w:p w14:paraId="4254916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 本谈判文件仅适用于本次谈判所述的服务项目采购。</w:t>
      </w:r>
    </w:p>
    <w:p w14:paraId="0855B303">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2.定义</w:t>
      </w:r>
    </w:p>
    <w:p w14:paraId="2F167A1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 服务：系指除货物和工程以外的其他政府采购对象，包括咨询、调研、评估、规划、设计、监理、审计、保险、租赁、印刷、维修、物业管理等。</w:t>
      </w:r>
    </w:p>
    <w:p w14:paraId="0D8EF6A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 时限（年份、月份等）计算：系指从谈判之日向前追溯 X 年/月（“X”为“一”及以后整数）起算。</w:t>
      </w:r>
    </w:p>
    <w:p w14:paraId="383EC67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 业绩：除非本谈判文件中另有规定，业绩系指符合本谈判文件规定与最终用户签订的合同。供应商与其关联公司（如母公司、控股公司、分公司、子公司、同一法定代表人的公司等）之间签订的合同，均不予认可。</w:t>
      </w:r>
    </w:p>
    <w:p w14:paraId="1AF9F15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除非本谈判文件中另有规定，否则业绩时间均以合同签订之日为追溯节点。</w:t>
      </w:r>
    </w:p>
    <w:p w14:paraId="0ACE1038">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3采购人、采购代理机构及供应商</w:t>
      </w:r>
    </w:p>
    <w:p w14:paraId="172968F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 采购人：是指依法开展政府采购活动的国家机关、事业单位、团体组织。本项目的采购人见供应商须知前附表。</w:t>
      </w:r>
    </w:p>
    <w:p w14:paraId="53698F3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采购代理机构：是指集中采购机构或从事采购代理业务的社会中介机构。本项目的采购代理机构见供应商须知前附表。</w:t>
      </w:r>
    </w:p>
    <w:p w14:paraId="1C540D6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 政府采购监督管理部门：各级人民政府指定的有关部门依法履行与政府采购活动有关的监督管理职责。</w:t>
      </w:r>
    </w:p>
    <w:p w14:paraId="497884E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 供应商：是指向采购人提供货物、工程或者服务的法人、非法人组织或者自然人。分支机构不得参加政府采购活动，但银行、保险、石油石化、电力、电信等特殊行业除外。本项目的供应商须满足以下条件：</w:t>
      </w:r>
    </w:p>
    <w:p w14:paraId="7AF2FD8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 在中华人民共和国境内注册，能够独立承担民事责任，有生产或供应能力的本国供应商。</w:t>
      </w:r>
    </w:p>
    <w:p w14:paraId="6BB34A9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3.4.2 具备《中华人民共和国政府采购法》第二十二条关于供应商条件的规定，遵守本项目采购人本级和上级财政部门政府采购的有关规定。</w:t>
      </w:r>
    </w:p>
    <w:p w14:paraId="3C84005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3.4.3 以采购代理机构认可的方式获得了本项目的谈判文件。</w:t>
      </w:r>
    </w:p>
    <w:p w14:paraId="197D08CF">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3.4.4 若供应商须知前附表中写明专门面向中小企业采购的，如供应商为非中小企业，其响应文件将被认定为响应无效。</w:t>
      </w:r>
    </w:p>
    <w:p w14:paraId="5DFAFEC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 若供应商须知前附表中允许联合体参加谈判，对联合体规定如下：</w:t>
      </w:r>
    </w:p>
    <w:p w14:paraId="0C1D73E2">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两个以上供应商可以组成一个谈判联合体，以一个供应商的身份谈判。</w:t>
      </w:r>
    </w:p>
    <w:p w14:paraId="33649E9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3.5.2 联合体各方均应符合《中华人民共和国政府采购法》第二十二条规定的条件。</w:t>
      </w:r>
    </w:p>
    <w:p w14:paraId="514270D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3.5.3 采购人根据采购项目对供应商的特殊要求，联合体中至少应当有一方符合相关规定。</w:t>
      </w:r>
    </w:p>
    <w:p w14:paraId="02BF277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3.5.4 联合体各方应签订联合体协议，明确约定联合体各方承担的工作和相应的责任，并将联合体协议作为响应文件的一部分提交。</w:t>
      </w:r>
    </w:p>
    <w:p w14:paraId="2E5F125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3.5.5 大中型企业、其他自然人、法人或者非法人组织与小型、微型企业组成联合体共同参加谈判，联合体协议中应写明小型、微型企业的协议合同金额占到联合体协议合同总金额的比例。</w:t>
      </w:r>
    </w:p>
    <w:p w14:paraId="3362540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3.5.6 联合体中有同类资质的供应商按照联合体分工承担相同工作的，应当按照资质等级较低的供应商确定资质等级。</w:t>
      </w:r>
    </w:p>
    <w:p w14:paraId="0F9EEE8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3.5.7 以联合体形式参加政府采购活动的，联合体各方不得再单独参加或者与其他供应商另外组成联合体参加本项目谈判，否则相关响应文件将被认定为响应无效。</w:t>
      </w:r>
    </w:p>
    <w:p w14:paraId="02E1343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3.5.8 对联合体参加谈判的其他资格要求见供应商资格。</w:t>
      </w:r>
    </w:p>
    <w:p w14:paraId="2C9D4D4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 单位负责人为同一人或者存在直接控股、管理关系的不同供应商，不得参加同一合同项下的政府采购活动。否则其相关响应文件将被认定为响应无效。</w:t>
      </w:r>
    </w:p>
    <w:p w14:paraId="3C73F38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 为本项目提供过整体设计、规范编制或者项目管理、监理、检测等服务的供应商，不得再参加本项目上述服务以外的其他采购活动。否则其响应文件将被认定为响应无效。</w:t>
      </w:r>
    </w:p>
    <w:p w14:paraId="080F33F9">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4.资金来源</w:t>
      </w:r>
    </w:p>
    <w:p w14:paraId="20A0ADA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 本项目的采购人已获得足以支付本次谈判后所签订的合同项下的资金。</w:t>
      </w:r>
    </w:p>
    <w:p w14:paraId="3611395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 项目预算金额或分项（或分包）预算金额见谈判公告（谈判邀请）。</w:t>
      </w:r>
    </w:p>
    <w:p w14:paraId="7F4FB478">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5.谈判费用</w:t>
      </w:r>
    </w:p>
    <w:p w14:paraId="6A110B2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不论谈判的结果如何，供应商应承担其所有与准备和参加谈判有关的费用。</w:t>
      </w:r>
    </w:p>
    <w:p w14:paraId="258ED85A">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6.适用法律</w:t>
      </w:r>
    </w:p>
    <w:p w14:paraId="337183A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10B0FD3">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7.谈判文件构成</w:t>
      </w:r>
    </w:p>
    <w:p w14:paraId="6BFBCAD2">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 谈判文件包括下列内容：</w:t>
      </w:r>
    </w:p>
    <w:p w14:paraId="6AEFF08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竞争性谈判公告</w:t>
      </w:r>
    </w:p>
    <w:p w14:paraId="6EB023E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供应商须知前附表</w:t>
      </w:r>
    </w:p>
    <w:p w14:paraId="383AE00E">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供应商须知</w:t>
      </w:r>
    </w:p>
    <w:p w14:paraId="058676E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采购需求</w:t>
      </w:r>
    </w:p>
    <w:p w14:paraId="20D94E9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 评审方法和标准</w:t>
      </w:r>
    </w:p>
    <w:p w14:paraId="33C428D5">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政府采购合同</w:t>
      </w:r>
    </w:p>
    <w:p w14:paraId="11EA59A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第七章 谈判响应文件格式</w:t>
      </w:r>
    </w:p>
    <w:p w14:paraId="0882C9A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第八章 最终报价或第   次报价表</w:t>
      </w:r>
    </w:p>
    <w:p w14:paraId="6C3EDA8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7.2 谈判文件中有不一致的，有澄清的部分以最终的澄清更正内容为准。</w:t>
      </w:r>
    </w:p>
    <w:p w14:paraId="118F6CA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 现场考察及相关事项见供应商须知前附表。</w:t>
      </w:r>
    </w:p>
    <w:p w14:paraId="09118C9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7.4 供应商应认真阅读谈判文件所有的事项、格式、条款和技术规范等。</w:t>
      </w:r>
    </w:p>
    <w:p w14:paraId="3F76CCD6">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8.谈判文件的澄清与修改</w:t>
      </w:r>
    </w:p>
    <w:p w14:paraId="6C2B8C6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 供应商如对谈判文件内容有疑问，必须在供应商须知前附表规定的询问截止时间前以书面提问形式提交给采购代理机构。</w:t>
      </w:r>
    </w:p>
    <w:p w14:paraId="19854C6A">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人可主动或在解答供应商提出的问题时对谈判文件进行澄清或者修改。采购代理机构将在发布招标公告网址上以发布公告的方式澄清或者修改谈判文件，澄清或修改的内容作为谈判文件的组成部分，对供应商起约束作用。供应商应主动上网查询。采购代理机构不承担供应商未及时关注相关信息引发的相关责任。</w:t>
      </w:r>
    </w:p>
    <w:p w14:paraId="4A099155">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 任何人或任何组织向供应商提供的任何书面或口头资料，未经采购代理机构在网上发布或书面通知，均作无效处理，不得作为谈判文件的组成部分。采购代理机构对供应商由此而做出的推论、理解和结论概不负责。</w:t>
      </w:r>
    </w:p>
    <w:p w14:paraId="6F5038C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对于没有提出询问又参与了本项目谈判的供应商将被视为完全认同本谈判文件（含澄清或修改的内容）。</w:t>
      </w:r>
    </w:p>
    <w:p w14:paraId="439E6C28">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9.谈判范围及响应文件中标准和计量单位的使用</w:t>
      </w:r>
    </w:p>
    <w:p w14:paraId="1E94326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 项目有分包的，供应商可参与其中某一个或多个分包的谈判，成交包数详见供应商须知前附表中规定。</w:t>
      </w:r>
    </w:p>
    <w:p w14:paraId="1ABD345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9.2 无论谈判文件中是否要求，供应商所投服务及伴随的货物和工程均应符合国家强制性标准。</w:t>
      </w:r>
    </w:p>
    <w:p w14:paraId="15CEF72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9.3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6232E65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9.4 除谈判文件中有特殊要求外，响应文件中所使用的计量单位，应采用中华人民共和国法定计量单位。</w:t>
      </w:r>
    </w:p>
    <w:p w14:paraId="437AC22E">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10.响应文件构成</w:t>
      </w:r>
    </w:p>
    <w:p w14:paraId="595070E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供应商应完整地按谈判文件提供的响应文件格式及要求编写响应文件，具体内容详见第七章响应文件格式的相关内容。</w:t>
      </w:r>
    </w:p>
    <w:p w14:paraId="285A156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上述文件应按照谈判文件规定的格式填写、签署和盖章。</w:t>
      </w:r>
    </w:p>
    <w:p w14:paraId="4ED6053B">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11.证明标的的合格性和符合谈判文件规定的技术文件</w:t>
      </w:r>
    </w:p>
    <w:p w14:paraId="59A02DE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 供应商应提交谈判文件要求的证明文件，证明其响应内容符合谈判文件规定。该证明文件是响应文件的一部分。</w:t>
      </w:r>
    </w:p>
    <w:p w14:paraId="43910F7F">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 上款所述的证明文件，可以是文字资料、图纸和数据。</w:t>
      </w:r>
    </w:p>
    <w:p w14:paraId="72A986D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 本条所指证明文件不包括对谈判文件相关部分的文字、图标的复制。</w:t>
      </w:r>
    </w:p>
    <w:p w14:paraId="0138B35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 为保证公平公正，除非谈判文件另有规定或说明，供应商对同一项目谈判时，不得同时提供备选谈判方案。</w:t>
      </w:r>
    </w:p>
    <w:p w14:paraId="2B5DFD74">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12.报价</w:t>
      </w:r>
    </w:p>
    <w:p w14:paraId="3BC8E4E5">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 供应商的报价应当包括满足本次谈判全部采购需求所应提供的服务，以及伴随的货物和工程。所有内容均应以人民币报价，供应商的谈判报价应遵守《中华人民共和国价格法》。</w:t>
      </w:r>
    </w:p>
    <w:p w14:paraId="479A5DB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 供应商应在分项报价表上标明分项服务、伴随的货物和工程的价格（如适用）和总价，未标明的视同包含在谈判报价中。</w:t>
      </w:r>
    </w:p>
    <w:p w14:paraId="7BC9DB0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 除非谈判文件另有规定或经采购人同意支付的，最后报价均不得高于谈判文件（公告）列明的项目预算，否则其响应文件将被认定为响应无效。</w:t>
      </w:r>
    </w:p>
    <w:p w14:paraId="58291811">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12.4 报价在合同履行过程中是固定不变的，不得以任何理由予以变更。任何包含价格调整要求的谈判，其响应文件将被认定为响应无效。</w:t>
      </w:r>
    </w:p>
    <w:p w14:paraId="520F5B1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 采购人不接受具有附加条件的报价。</w:t>
      </w:r>
    </w:p>
    <w:p w14:paraId="46F59C39">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13.谈判保证金（</w:t>
      </w:r>
      <w:r>
        <w:rPr>
          <w:rFonts w:hint="eastAsia"/>
          <w:color w:val="000000" w:themeColor="text1"/>
          <w:highlight w:val="none"/>
          <w:lang w:eastAsia="zh-CN"/>
          <w14:textFill>
            <w14:solidFill>
              <w14:schemeClr w14:val="tx1"/>
            </w14:solidFill>
          </w14:textFill>
        </w:rPr>
        <w:t>无</w:t>
      </w:r>
      <w:r>
        <w:rPr>
          <w:rFonts w:hint="eastAsia"/>
          <w:color w:val="000000" w:themeColor="text1"/>
          <w:highlight w:val="none"/>
          <w14:textFill>
            <w14:solidFill>
              <w14:schemeClr w14:val="tx1"/>
            </w14:solidFill>
          </w14:textFill>
        </w:rPr>
        <w:t>）</w:t>
      </w:r>
    </w:p>
    <w:p w14:paraId="3D9337C6">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14.谈判有效期</w:t>
      </w:r>
    </w:p>
    <w:p w14:paraId="12432B1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 谈判有效期为从响应文件提交截止之日算起的日历天数，谈判有效期详见供应商须知前附表。</w:t>
      </w:r>
    </w:p>
    <w:p w14:paraId="5A9D3CEF">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 在谈判有效期内，供应商的谈判保持有效，供应商不得要求撤销或修改其响应文件。谈判有效期不满足要求的响应，其响应文件将被认定为响应无效。</w:t>
      </w:r>
    </w:p>
    <w:p w14:paraId="593094C1">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53103DF9">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15.响应文件的制作</w:t>
      </w:r>
    </w:p>
    <w:p w14:paraId="7CBAAF2E">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本项目要求提供密封的纸质响应文件，响应文件的制作应满足以下规定：</w:t>
      </w:r>
    </w:p>
    <w:p w14:paraId="198C635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第七章“谈判响应文件格式”中要求加盖供应商签章处，供应商均应加盖供应商公章。联合体参加谈判的，除联合体协议及谈判文件规定须联合体各成员单位各自盖章的证明材料外，响应文件由联合体牵头人按上述规定加盖联合体牵头人单位公章。</w:t>
      </w:r>
    </w:p>
    <w:p w14:paraId="45C049E1">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）响应文件制作完成后，供应商应对响应文件进行密封，形成密封的响应文件。</w:t>
      </w:r>
    </w:p>
    <w:p w14:paraId="3533E15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 谈判现场提交的其他材料要求详见供应商须知前附表。</w:t>
      </w:r>
    </w:p>
    <w:p w14:paraId="0C175C4E">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16.响应文件提交截止时间</w:t>
      </w:r>
    </w:p>
    <w:p w14:paraId="7FEB504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90" w:name="_Toc144907626"/>
      <w:r>
        <w:rPr>
          <w:rFonts w:hint="eastAsia"/>
          <w:color w:val="000000" w:themeColor="text1"/>
          <w:highlight w:val="none"/>
          <w14:textFill>
            <w14:solidFill>
              <w14:schemeClr w14:val="tx1"/>
            </w14:solidFill>
          </w14:textFill>
        </w:rPr>
        <w:t>16.1 供应商应在供应商须知前附表中规定的响应文件提交截止时间前，</w:t>
      </w:r>
      <w:bookmarkEnd w:id="490"/>
      <w:bookmarkStart w:id="491" w:name="_Toc144907627"/>
      <w:r>
        <w:rPr>
          <w:rFonts w:hint="eastAsia"/>
          <w:color w:val="000000" w:themeColor="text1"/>
          <w:highlight w:val="none"/>
          <w14:textFill>
            <w14:solidFill>
              <w14:schemeClr w14:val="tx1"/>
            </w14:solidFill>
          </w14:textFill>
        </w:rPr>
        <w:t>将密封的响应文件在现场递交。</w:t>
      </w:r>
    </w:p>
    <w:p w14:paraId="34CA35DF">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 供应商在</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文件规定的响应文件提交截止时间前</w:t>
      </w:r>
      <w:r>
        <w:rPr>
          <w:rFonts w:hint="eastAsia"/>
          <w:color w:val="000000" w:themeColor="text1"/>
          <w:highlight w:val="none"/>
          <w:lang w:eastAsia="zh-CN"/>
          <w14:textFill>
            <w14:solidFill>
              <w14:schemeClr w14:val="tx1"/>
            </w14:solidFill>
          </w14:textFill>
        </w:rPr>
        <w:t>递交密封的</w:t>
      </w:r>
      <w:r>
        <w:rPr>
          <w:rFonts w:hint="eastAsia"/>
          <w:color w:val="000000" w:themeColor="text1"/>
          <w:highlight w:val="none"/>
          <w14:textFill>
            <w14:solidFill>
              <w14:schemeClr w14:val="tx1"/>
            </w14:solidFill>
          </w14:textFill>
        </w:rPr>
        <w:t>响应文件。</w:t>
      </w:r>
      <w:bookmarkEnd w:id="491"/>
    </w:p>
    <w:p w14:paraId="13CD9F12">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92" w:name="_Toc144907628"/>
      <w:r>
        <w:rPr>
          <w:rFonts w:hint="eastAsia"/>
          <w:color w:val="000000" w:themeColor="text1"/>
          <w:highlight w:val="none"/>
          <w14:textFill>
            <w14:solidFill>
              <w14:schemeClr w14:val="tx1"/>
            </w14:solidFill>
          </w14:textFill>
        </w:rPr>
        <w:t>16.3 采购人和采购代理机构延迟响应文件提交截止时间的。采购人、采购代理机构和供应商受响应文件提交截止时间制约的所有权利和义务均应延长至新的截止时间。</w:t>
      </w:r>
      <w:bookmarkEnd w:id="492"/>
    </w:p>
    <w:p w14:paraId="22F8E55E">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17.响应文件的提交、修改与撤回</w:t>
      </w:r>
    </w:p>
    <w:p w14:paraId="4CD5F02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93" w:name="_Toc144907630"/>
      <w:r>
        <w:rPr>
          <w:rFonts w:hint="eastAsia"/>
          <w:color w:val="000000" w:themeColor="text1"/>
          <w:highlight w:val="none"/>
          <w14:textFill>
            <w14:solidFill>
              <w14:schemeClr w14:val="tx1"/>
            </w14:solidFill>
          </w14:textFill>
        </w:rPr>
        <w:t>17.1 供应商应当在第一章“竞争性</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公告”规定的响应文件提交截止时间前，将</w:t>
      </w:r>
      <w:r>
        <w:rPr>
          <w:rFonts w:hint="eastAsia"/>
          <w:color w:val="000000" w:themeColor="text1"/>
          <w:highlight w:val="none"/>
          <w:lang w:eastAsia="zh-CN"/>
          <w14:textFill>
            <w14:solidFill>
              <w14:schemeClr w14:val="tx1"/>
            </w14:solidFill>
          </w14:textFill>
        </w:rPr>
        <w:t>密封</w:t>
      </w:r>
      <w:r>
        <w:rPr>
          <w:rFonts w:hint="eastAsia"/>
          <w:color w:val="000000" w:themeColor="text1"/>
          <w:highlight w:val="none"/>
          <w14:textFill>
            <w14:solidFill>
              <w14:schemeClr w14:val="tx1"/>
            </w14:solidFill>
          </w14:textFill>
        </w:rPr>
        <w:t>的响应文件</w:t>
      </w:r>
      <w:r>
        <w:rPr>
          <w:rFonts w:hint="eastAsia"/>
          <w:color w:val="000000" w:themeColor="text1"/>
          <w:highlight w:val="none"/>
          <w:lang w:eastAsia="zh-CN"/>
          <w14:textFill>
            <w14:solidFill>
              <w14:schemeClr w14:val="tx1"/>
            </w14:solidFill>
          </w14:textFill>
        </w:rPr>
        <w:t>递交至开标现场</w:t>
      </w:r>
      <w:r>
        <w:rPr>
          <w:rFonts w:hint="eastAsia"/>
          <w:color w:val="000000" w:themeColor="text1"/>
          <w:highlight w:val="none"/>
          <w14:textFill>
            <w14:solidFill>
              <w14:schemeClr w14:val="tx1"/>
            </w14:solidFill>
          </w14:textFill>
        </w:rPr>
        <w:t>。</w:t>
      </w:r>
      <w:bookmarkEnd w:id="493"/>
    </w:p>
    <w:p w14:paraId="4CDE15C2">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94" w:name="_Toc144907631"/>
      <w:r>
        <w:rPr>
          <w:rFonts w:hint="eastAsia"/>
          <w:color w:val="000000" w:themeColor="text1"/>
          <w:highlight w:val="none"/>
          <w14:textFill>
            <w14:solidFill>
              <w14:schemeClr w14:val="tx1"/>
            </w14:solidFill>
          </w14:textFill>
        </w:rPr>
        <w:t>17.2 供应商应当在响应文件提交截止时间前完成响应文件的提交，并可以补充、修改或者撤回响应文件。响应文件提交截止时间前未完成响应文件</w:t>
      </w:r>
      <w:r>
        <w:rPr>
          <w:rFonts w:hint="eastAsia"/>
          <w:color w:val="000000" w:themeColor="text1"/>
          <w:highlight w:val="none"/>
          <w:lang w:eastAsia="zh-CN"/>
          <w14:textFill>
            <w14:solidFill>
              <w14:schemeClr w14:val="tx1"/>
            </w14:solidFill>
          </w14:textFill>
        </w:rPr>
        <w:t>递交</w:t>
      </w:r>
      <w:r>
        <w:rPr>
          <w:rFonts w:hint="eastAsia"/>
          <w:color w:val="000000" w:themeColor="text1"/>
          <w:highlight w:val="none"/>
          <w14:textFill>
            <w14:solidFill>
              <w14:schemeClr w14:val="tx1"/>
            </w14:solidFill>
          </w14:textFill>
        </w:rPr>
        <w:t>的，视为撤回响应文件。未按规定</w:t>
      </w:r>
      <w:r>
        <w:rPr>
          <w:rFonts w:hint="eastAsia"/>
          <w:color w:val="000000" w:themeColor="text1"/>
          <w:highlight w:val="none"/>
          <w:lang w:eastAsia="zh-CN"/>
          <w14:textFill>
            <w14:solidFill>
              <w14:schemeClr w14:val="tx1"/>
            </w14:solidFill>
          </w14:textFill>
        </w:rPr>
        <w:t>密封</w:t>
      </w:r>
      <w:r>
        <w:rPr>
          <w:rFonts w:hint="eastAsia"/>
          <w:color w:val="000000" w:themeColor="text1"/>
          <w:highlight w:val="none"/>
          <w14:textFill>
            <w14:solidFill>
              <w14:schemeClr w14:val="tx1"/>
            </w14:solidFill>
          </w14:textFill>
        </w:rPr>
        <w:t>或响应文件提交截止时间后送达的响应文件，应当拒收。</w:t>
      </w:r>
      <w:bookmarkEnd w:id="494"/>
    </w:p>
    <w:p w14:paraId="1A08362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95" w:name="_Toc144907632"/>
      <w:r>
        <w:rPr>
          <w:rFonts w:hint="eastAsia"/>
          <w:color w:val="000000" w:themeColor="text1"/>
          <w:highlight w:val="none"/>
          <w14:textFill>
            <w14:solidFill>
              <w14:schemeClr w14:val="tx1"/>
            </w14:solidFill>
          </w14:textFill>
        </w:rPr>
        <w:t>17.3 采购代理机构工作人员在监督员监督下</w:t>
      </w:r>
      <w:r>
        <w:rPr>
          <w:rFonts w:hint="eastAsia"/>
          <w:color w:val="000000" w:themeColor="text1"/>
          <w:highlight w:val="none"/>
          <w:lang w:eastAsia="zh-CN"/>
          <w14:textFill>
            <w14:solidFill>
              <w14:schemeClr w14:val="tx1"/>
            </w14:solidFill>
          </w14:textFill>
        </w:rPr>
        <w:t>对</w:t>
      </w:r>
      <w:r>
        <w:rPr>
          <w:rFonts w:hint="eastAsia"/>
          <w:color w:val="000000" w:themeColor="text1"/>
          <w:highlight w:val="none"/>
          <w14:textFill>
            <w14:solidFill>
              <w14:schemeClr w14:val="tx1"/>
            </w14:solidFill>
          </w14:textFill>
        </w:rPr>
        <w:t>所有响应文件</w:t>
      </w:r>
      <w:r>
        <w:rPr>
          <w:rFonts w:hint="eastAsia"/>
          <w:color w:val="000000" w:themeColor="text1"/>
          <w:highlight w:val="none"/>
          <w:lang w:eastAsia="zh-CN"/>
          <w14:textFill>
            <w14:solidFill>
              <w14:schemeClr w14:val="tx1"/>
            </w14:solidFill>
          </w14:textFill>
        </w:rPr>
        <w:t>开启</w:t>
      </w:r>
      <w:r>
        <w:rPr>
          <w:rFonts w:hint="eastAsia"/>
          <w:color w:val="000000" w:themeColor="text1"/>
          <w:highlight w:val="none"/>
          <w14:textFill>
            <w14:solidFill>
              <w14:schemeClr w14:val="tx1"/>
            </w14:solidFill>
          </w14:textFill>
        </w:rPr>
        <w:t>。</w:t>
      </w:r>
      <w:bookmarkEnd w:id="495"/>
    </w:p>
    <w:p w14:paraId="75125DF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bookmarkStart w:id="496" w:name="_Toc144907633"/>
      <w:r>
        <w:rPr>
          <w:rFonts w:hint="eastAsia"/>
          <w:color w:val="000000" w:themeColor="text1"/>
          <w:highlight w:val="none"/>
          <w14:textFill>
            <w14:solidFill>
              <w14:schemeClr w14:val="tx1"/>
            </w14:solidFill>
          </w14:textFill>
        </w:rPr>
        <w:t>17.4</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在响应文件提交截止时间之后，供应商不得对其响应文件做任何修改。但属于</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小组在评审中发现的计算错误并进行核实的修改、按照</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文件的变动情况和</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小组的要求重新提交响应文件的，不在此列。</w:t>
      </w:r>
      <w:bookmarkEnd w:id="496"/>
    </w:p>
    <w:p w14:paraId="3131D49B">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18.谈判小组</w:t>
      </w:r>
    </w:p>
    <w:p w14:paraId="5CB6565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 本项目将依法组建谈判小组，谈判小组成员由 3 人以上单数组成，谈判小组及其成员应当依照政府采购的有关规定履行相关职责和义务。</w:t>
      </w:r>
    </w:p>
    <w:p w14:paraId="7EF0617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 谈判小组依法对响应文件进行评审，并根据谈判文件规定的程序、评定成交的标准等事项与实质性响应谈判文件要求的供应商进行谈判。</w:t>
      </w:r>
    </w:p>
    <w:p w14:paraId="3579259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18.3 谈判小组应当从质量和服务均能满足谈判文件实质性响应要求的供应商中，按照评审方法和标准推荐成交候选人，并编写评审报告。</w:t>
      </w:r>
    </w:p>
    <w:p w14:paraId="343AE4A3">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19.响应文件的评审与谈判</w:t>
      </w:r>
    </w:p>
    <w:p w14:paraId="1B8C8ED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 采购人和采购代理机构将在供应商须知前附表规定的时间和地点组织谈判。</w:t>
      </w:r>
    </w:p>
    <w:p w14:paraId="46C26AB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 竞争性谈判采用最低评标价法评审。</w:t>
      </w:r>
    </w:p>
    <w:p w14:paraId="61BFBCDA">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最低评标价法，是指响应文件满足谈判文件全部实质性要求且最后报价最低的供应商为成交候选人的评标方法。</w:t>
      </w:r>
    </w:p>
    <w:p w14:paraId="0097289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 谈判小组将按照谈判文件规定的评审方法和标准对供应商独立进行评审。评审程序如下：</w:t>
      </w:r>
    </w:p>
    <w:p w14:paraId="10BBF4C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19.3.1 初审。谈判小组对供应商必须满足和实质性响应的内容进行评审，供应商未实质性响应谈判文件要求导致响应无效的，谈判小组将以书面询标的方式告知有关供应商。供应商存在不良信用记录的，其响应文件将被认定为响应无效。</w:t>
      </w:r>
    </w:p>
    <w:p w14:paraId="68D52B3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19.3.1.1 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w:t>
      </w:r>
    </w:p>
    <w:p w14:paraId="2CFFB6E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19.3.1.2 信用信息查询渠道：中国政府采购网（www.ccgp.gov.cn）、“信用中国”网站（www.creditchina.gov.cn）。</w:t>
      </w:r>
    </w:p>
    <w:p w14:paraId="45E0ACC2">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19.3.2 谈判。初审合格后，谈判小组将按响应文件提交顺序集中与单一供应商分别进行谈判，并给予所有参加谈判的供应商平等的谈判机会，如供应商未到谈判现场的，视同放弃该权利。</w:t>
      </w:r>
    </w:p>
    <w:p w14:paraId="56741281">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19.3.3 报价。谈判结束后，谈判小组应当要求所有继续参加谈判的供应商在规定时间内提交最后报价。</w:t>
      </w:r>
    </w:p>
    <w:p w14:paraId="776D4B9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 相关说明。</w:t>
      </w:r>
    </w:p>
    <w:p w14:paraId="45BCAEE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为保证谈判活动顺利进行，供应商可派相关技术人员进行现场答疑；</w:t>
      </w:r>
    </w:p>
    <w:p w14:paraId="3A7726C9">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19.4.2 谈判小组根据与供应商谈判情况可能实质性变动谈判文件的内容，包括采购需求中的技术、服务要求以及合同草案条款。谈判文件有实质性变动的，经采购人代表确认作为谈判文件的有效组成部分，谈判小组将以书面形式通知所有参加谈判的供应商。</w:t>
      </w:r>
    </w:p>
    <w:p w14:paraId="629DA7F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19.4.3 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14:paraId="1123457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19.4.4 无论何种原因，即使供应商谈判时携带了证书材料的原件，但响应文件中未提供与之内容完全一致的扫描件或影印件的，谈判小组可以视同其未提供。</w:t>
      </w:r>
    </w:p>
    <w:p w14:paraId="571A291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19.4.5 谈判小组决定响应文件的响应性及符合性只根据响应文件本身的内容，而不寻求其他外部证据。</w:t>
      </w:r>
    </w:p>
    <w:p w14:paraId="0492A9F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19.5 供应商授权代表对谈判过程有疑义，以及认为采购人、采购代理机构相关工作人员有需要回避的情形的，应当场提出询问或者回避申请，并说明理由。</w:t>
      </w:r>
    </w:p>
    <w:p w14:paraId="05893A43">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20.终止竞争性谈判</w:t>
      </w:r>
    </w:p>
    <w:p w14:paraId="7BD7F3B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 出现下列情况之一时，采购人和采购代理机构有权宣布终止竞争性谈判采购，并将理由通知所有供应商：</w:t>
      </w:r>
    </w:p>
    <w:p w14:paraId="381FC745">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（1）有效供应商数量不足，导致本次谈判缺乏竞争的；</w:t>
      </w:r>
    </w:p>
    <w:p w14:paraId="5C5D601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（2）出现影响采购公正的违法、违规行为的；</w:t>
      </w:r>
    </w:p>
    <w:p w14:paraId="00DF7C2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（3）因重大变故，采购任务取消的；</w:t>
      </w:r>
    </w:p>
    <w:p w14:paraId="2BA551CC">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（4）政府采购法律法规规定的其他情形。</w:t>
      </w:r>
    </w:p>
    <w:p w14:paraId="0B07910F">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21.响应文件的澄清、说明或更正</w:t>
      </w:r>
    </w:p>
    <w:p w14:paraId="1F5C7F8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884094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21.2 谈判小组要求供应商澄清、说明或者更正响应文件应当以书面形式（询标）作出。供应商的澄清、说明或者更正应当由法定代表人或其授权代表签字或者加盖公章。如有询标，授权代表（或法定代表人）可通过携带本人有效身份证明原件参加询标。因授权代表联系不上、未到谈判现场等情形而无法接受谈判小组询标的，供应商自行承担相关风险。</w:t>
      </w:r>
    </w:p>
    <w:p w14:paraId="0E26F53C">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22.最后报价</w:t>
      </w:r>
    </w:p>
    <w:p w14:paraId="4042753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 谈判并不限定只进行二轮报价，如果谈判小组认为有必要，可以要求供应商进行多轮报价。</w:t>
      </w:r>
    </w:p>
    <w:p w14:paraId="273B828A">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 在谈判内容不做实质性变更或重大调整的前提下，供应商下轮报价不得高于上一轮报价。</w:t>
      </w:r>
    </w:p>
    <w:p w14:paraId="6A35BAF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 最后报价是供应商响应文件的有效组成部分，最后报价也是签订合同的依据。</w:t>
      </w:r>
    </w:p>
    <w:p w14:paraId="6764A7E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22.4 根据《安徽省财政厅 安徽省经济和信息化厅转发财政部 工业和信息化部关于印发〈政府采购促进中小企业发展管理办法〉的通知》（皖财购〔2020〕1668号）、《安徽省财政厅关于进一步优化政府采购营商环境的通知》（皖财购〔2022〕556号）、《财政部 司法部关于政府采购支持监狱企业发展有关问题的通知》（财库〔2014〕68号）和《财政部 民政部中国残疾人联合会关于促进残疾人就业政府采购政策的通知》（财库〔2017〕141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14:paraId="5345AA9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联合体协议中约定，小型、微型企业和监狱企业的协议合同金额占到联合体协议合同总金额30%以上的，可给予联合体报价按照供应商须知前附表中规定的标准扣除后参与评审。</w:t>
      </w:r>
    </w:p>
    <w:p w14:paraId="28C7168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联合体各方均为小型、微型企业和监狱企业的，联合体视同为小型、微型企业和监狱企业。</w:t>
      </w:r>
    </w:p>
    <w:p w14:paraId="20F97951">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23.成交候选人的推荐原则及标准</w:t>
      </w:r>
    </w:p>
    <w:p w14:paraId="79E5F3D5">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23.1 谈判小组依据本项目谈判文件所约定的评审方法和标准，按照最后报价由低到高的顺序依次推荐成交候选人。最后报价相同的，则由谈判小组采取随机抽取方式确定成交候选顺序。</w:t>
      </w:r>
    </w:p>
    <w:p w14:paraId="7F27C79F">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24.确定成交候选人和成交供应商</w:t>
      </w:r>
    </w:p>
    <w:p w14:paraId="28E9C20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 谈判小组按照最后报价由低到高的顺序和供应商须知前附表中规定确定成交候选人，并标明排列顺序。排名第一的成交候选人经采购人或采购人授权的谈判小组确定为成交供应商后，由采购代理机构在指定媒体上予以公告。</w:t>
      </w:r>
    </w:p>
    <w:p w14:paraId="5D4BAF09">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25.编写评审报告</w:t>
      </w:r>
    </w:p>
    <w:p w14:paraId="788A3A0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32D6F4E2">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26.保密要求</w:t>
      </w:r>
    </w:p>
    <w:p w14:paraId="35C4EABE">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26.1 评审将在严格保密的情况下进行。</w:t>
      </w:r>
    </w:p>
    <w:p w14:paraId="0138EB94">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26.2 有关人员应当遵守评审工作纪律，不得泄露评审文件、评审情况和评审中获悉的国家秘密、商业秘密。</w:t>
      </w:r>
    </w:p>
    <w:p w14:paraId="2B8CCF68">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27.成交结果公告</w:t>
      </w:r>
    </w:p>
    <w:p w14:paraId="1D83BACF">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27.1 为体现“公开、公平、公正”的原则，谈判结束后，采购代理机构将在发布招标公告网址上发布成交结果公告。</w:t>
      </w:r>
    </w:p>
    <w:p w14:paraId="24313EBC">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28.成交通知书</w:t>
      </w:r>
    </w:p>
    <w:p w14:paraId="5EE52DE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28.1 采购代理机构发布成交结果公告的同时以供应商须知前附表规定的形式向成交供应商发出成交通知书。</w:t>
      </w:r>
    </w:p>
    <w:p w14:paraId="345A9E7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 成交通知书对采购人和成交供应商具有同等法律效力。成交通知书发出以后，采购人改变成交结果或者成交供应商放弃成交资格，应当承担相应的法律责任。</w:t>
      </w:r>
    </w:p>
    <w:p w14:paraId="697BBF41">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28.3 成交通知书是合同的组成部分。</w:t>
      </w:r>
    </w:p>
    <w:p w14:paraId="22009BFB">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29.告知谈判结果</w:t>
      </w:r>
    </w:p>
    <w:p w14:paraId="1376623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29.1 采购代理机构对未成交的供应商不做未成交原因的解释。</w:t>
      </w:r>
    </w:p>
    <w:p w14:paraId="503919F3">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30.履约保证金</w:t>
      </w:r>
    </w:p>
    <w:p w14:paraId="1665CD9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30.1 成交供应商应按照供应商须知前附表规定缴纳履约保证金。</w:t>
      </w:r>
    </w:p>
    <w:p w14:paraId="1EA9E5C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30.2 如果成交供应商没有按照上述履约保证金的规定执行，将视为放弃成交资格。在此情况下，采购人可确定下一成交候选人为成交供应商，也可以重新开展采购活动。</w:t>
      </w:r>
    </w:p>
    <w:p w14:paraId="6F777CCD">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31.代理服务费</w:t>
      </w:r>
    </w:p>
    <w:p w14:paraId="35DFA2D7">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31.1 本项目代理服务费的收取按供应商须知前附表的规定执行。</w:t>
      </w:r>
    </w:p>
    <w:p w14:paraId="535717F9">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32.签订合同</w:t>
      </w:r>
    </w:p>
    <w:p w14:paraId="52893155">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32.1 采购人与成交供应商应当自发出成交通知书之日起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日内</w:t>
      </w:r>
      <w:r>
        <w:rPr>
          <w:rFonts w:hint="eastAsia"/>
          <w:color w:val="000000" w:themeColor="text1"/>
          <w:highlight w:val="none"/>
          <w14:textFill>
            <w14:solidFill>
              <w14:schemeClr w14:val="tx1"/>
            </w14:solidFill>
          </w14:textFill>
        </w:rPr>
        <w:t>签订合同。</w:t>
      </w:r>
    </w:p>
    <w:p w14:paraId="48C22FCE">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32.2 谈判文件、成交供应商的响应文件及其澄清文件等，均为签订合同的依据。</w:t>
      </w:r>
    </w:p>
    <w:p w14:paraId="1F10BDE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32.3 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14:paraId="7E03E5AA">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33.廉洁自律规定</w:t>
      </w:r>
    </w:p>
    <w:p w14:paraId="475B166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 采购代理机构工作人员不得以不正当手段获取政府采购代理业务，不得与采购人、供应商恶意串通。</w:t>
      </w:r>
    </w:p>
    <w:p w14:paraId="57B2D8A6">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33.2采购代理机构工作人员不得接受采购人或者供应商组织的宴请、旅游、娱乐，不得收受礼品、现金、有价证券等，不得向采购人或者供应商报销应当由个人承担的费用。</w:t>
      </w:r>
    </w:p>
    <w:p w14:paraId="5F0BA93A">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34.质疑的提出与接收</w:t>
      </w:r>
    </w:p>
    <w:p w14:paraId="314FE653">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 供应商认为谈判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14A8EF20">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34.2 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69E3C0B">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超出法定质疑期的、重复提出的、分次提出的或内容、形式不符合《政府采购质疑和投诉办法》的，质疑供应商将依法承担不利后果。</w:t>
      </w:r>
    </w:p>
    <w:p w14:paraId="6B2A3858">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34.3 采购代理机构质疑函接收部门、联系电话和通讯地址，见供应商须知前附表。</w:t>
      </w:r>
    </w:p>
    <w:p w14:paraId="0B906803">
      <w:pPr>
        <w:pStyle w:val="6"/>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35.需要补充的其他内容</w:t>
      </w:r>
    </w:p>
    <w:p w14:paraId="79324CED">
      <w:pPr>
        <w:pStyle w:val="5"/>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需要补充的其他内容，见供应商须知前附表。</w:t>
      </w:r>
    </w:p>
    <w:bookmarkEnd w:id="488"/>
    <w:bookmarkEnd w:id="489"/>
    <w:p w14:paraId="72BB7DA1">
      <w:pPr>
        <w:pStyle w:val="5"/>
        <w:bidi w:val="0"/>
        <w:rPr>
          <w:rFonts w:hint="eastAsia"/>
          <w:color w:val="000000" w:themeColor="text1"/>
          <w:highlight w:val="none"/>
          <w14:textFill>
            <w14:solidFill>
              <w14:schemeClr w14:val="tx1"/>
            </w14:solidFill>
          </w14:textFill>
        </w:rPr>
      </w:pPr>
      <w:bookmarkStart w:id="497" w:name="_Toc31973"/>
      <w:bookmarkEnd w:id="497"/>
      <w:bookmarkStart w:id="498" w:name="_bookmark2"/>
      <w:bookmarkEnd w:id="498"/>
      <w:bookmarkStart w:id="499" w:name="_Toc144887248"/>
      <w:r>
        <w:rPr>
          <w:rFonts w:hint="eastAsia"/>
          <w:color w:val="000000" w:themeColor="text1"/>
          <w:highlight w:val="none"/>
          <w14:textFill>
            <w14:solidFill>
              <w14:schemeClr w14:val="tx1"/>
            </w14:solidFill>
          </w14:textFill>
        </w:rPr>
        <w:br w:type="page"/>
      </w:r>
    </w:p>
    <w:p w14:paraId="10C44B50">
      <w:pPr>
        <w:pStyle w:val="2"/>
        <w:bidi w:val="0"/>
        <w:rPr>
          <w:rFonts w:hint="eastAsia"/>
          <w:color w:val="000000" w:themeColor="text1"/>
          <w:highlight w:val="none"/>
          <w14:textFill>
            <w14:solidFill>
              <w14:schemeClr w14:val="tx1"/>
            </w14:solidFill>
          </w14:textFill>
        </w:rPr>
      </w:pPr>
      <w:bookmarkStart w:id="500" w:name="_Toc23896"/>
      <w:r>
        <w:rPr>
          <w:rFonts w:hint="eastAsia"/>
          <w:color w:val="000000" w:themeColor="text1"/>
          <w:highlight w:val="none"/>
          <w14:textFill>
            <w14:solidFill>
              <w14:schemeClr w14:val="tx1"/>
            </w14:solidFill>
          </w14:textFill>
        </w:rPr>
        <w:t>第四章 采购需求</w:t>
      </w:r>
      <w:bookmarkEnd w:id="499"/>
      <w:bookmarkEnd w:id="500"/>
    </w:p>
    <w:p w14:paraId="01CD94ED">
      <w:pPr>
        <w:pStyle w:val="6"/>
        <w:bidi w:val="0"/>
        <w:rPr>
          <w:rFonts w:hint="eastAsia"/>
          <w:color w:val="000000" w:themeColor="text1"/>
          <w:highlight w:val="none"/>
          <w:lang w:eastAsia="zh-CN"/>
          <w14:textFill>
            <w14:solidFill>
              <w14:schemeClr w14:val="tx1"/>
            </w14:solidFill>
          </w14:textFill>
        </w:rPr>
      </w:pPr>
      <w:bookmarkStart w:id="501" w:name="_Toc24710"/>
      <w:bookmarkEnd w:id="501"/>
      <w:bookmarkStart w:id="502" w:name="_Toc145084043"/>
      <w:bookmarkStart w:id="503" w:name="_Toc144887811"/>
      <w:bookmarkStart w:id="504" w:name="_Toc144881042"/>
      <w:bookmarkStart w:id="505" w:name="_Toc144887256"/>
      <w:r>
        <w:rPr>
          <w:rFonts w:hint="eastAsia"/>
          <w:color w:val="000000" w:themeColor="text1"/>
          <w:highlight w:val="none"/>
          <w:lang w:eastAsia="zh-CN"/>
          <w14:textFill>
            <w14:solidFill>
              <w14:schemeClr w14:val="tx1"/>
            </w14:solidFill>
          </w14:textFill>
        </w:rPr>
        <w:t>一、项目概况</w:t>
      </w:r>
    </w:p>
    <w:p w14:paraId="50BE8DF6">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1.1高标准农田建设目标任务</w:t>
      </w:r>
    </w:p>
    <w:p w14:paraId="00EB1FA9">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加强农业基础设施和生态建设，提高农业综合生产能力，保障国家粮食安全，保障国家粮食安全的总体要求，深入实施藏粮于地、藏粮于技战略，带动农民增收，促进农业可持续发展和农业现代化。</w:t>
      </w:r>
    </w:p>
    <w:p w14:paraId="79B8088E">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1.2高标准农田建设主要内容</w:t>
      </w:r>
    </w:p>
    <w:p w14:paraId="65430381">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照《全国高标准农田建设总体规划（2021-2030年）》和《高标准农田建设通则》（GB／T30600-2022）要求，实行田、土、水、路、林、电、技、管综合配套，重点在土地平整、土壤改良、灌溉排水、田间道路、农田防护与生态环境保持、农田输配电、科技服务和建后管护等方面加大建设力度，有效提高耕地地力和质量。</w:t>
      </w:r>
    </w:p>
    <w:p w14:paraId="22DA3F57">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二、服务需求</w:t>
      </w:r>
    </w:p>
    <w:p w14:paraId="2E2F2404">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2.1验收任务</w:t>
      </w:r>
    </w:p>
    <w:p w14:paraId="282FEA00">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对2024年全市7个县区26.83万亩，共29个项目。其中大通区2万亩3个项目，田家庵区0.6万亩1个项目，谢家集区0.95万亩1个项目，潘集区10万亩7个项目，毛集实验区0.5万亩1个项目，寿县11.78万亩14个项目，凤台县1万亩2个项目。9月底前全面完成市级验收工作。</w:t>
      </w:r>
    </w:p>
    <w:p w14:paraId="6FA186B1">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2.2竣工验收内容</w:t>
      </w:r>
    </w:p>
    <w:p w14:paraId="7CCB8FCB">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2.2.1项目规划、项目库及项目评审专家库建立和管理情况。</w:t>
      </w:r>
    </w:p>
    <w:p w14:paraId="0B1516BB">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2.2.2项目立项、征求群众意见及公开公示情况。</w:t>
      </w:r>
    </w:p>
    <w:p w14:paraId="7C11F35D">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2.2.3项目建设组织及制度保障措施，施工单位、监理单位日常监管工作开展情况。</w:t>
      </w:r>
    </w:p>
    <w:p w14:paraId="15E0BB2B">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2.2.4批复的初步设计和实施计划中工程完成和工程质量情况，主要设备及配套设施运行情况。</w:t>
      </w:r>
    </w:p>
    <w:p w14:paraId="10186668">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2.2.5调整、终止项目的申报审核审批材料。</w:t>
      </w:r>
    </w:p>
    <w:p w14:paraId="36CD0E52">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2.2.6项目资金落实及支付情况，竣工决算编制及审计情况。</w:t>
      </w:r>
    </w:p>
    <w:p w14:paraId="77844137">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2.2.7工程管护制度建立和管护主体落实情况。</w:t>
      </w:r>
    </w:p>
    <w:p w14:paraId="674F6C65">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2.2.8耕地质量建设工作开展情况。</w:t>
      </w:r>
    </w:p>
    <w:p w14:paraId="7079DFF1">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2.2.9上图入库工作情况。</w:t>
      </w:r>
    </w:p>
    <w:p w14:paraId="76B66275">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2.2.10项目档案收集整理归档等管理情况。</w:t>
      </w:r>
    </w:p>
    <w:p w14:paraId="3F8755AF">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2.3市级竣工验收依据</w:t>
      </w:r>
    </w:p>
    <w:p w14:paraId="33CC9E8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2.3.1高标准农田建设项目有关建设标准、制度和通知要求。</w:t>
      </w:r>
    </w:p>
    <w:p w14:paraId="78EA976D">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2.3.2年度实施计划批复、初步设计批复及调整、终止批复文件，经审批的实施计划、初步设计等。</w:t>
      </w:r>
    </w:p>
    <w:p w14:paraId="3FBAAAFA">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2.3.3现行施工技术验收规范，施工图、主要设备技术说明书等。</w:t>
      </w:r>
    </w:p>
    <w:p w14:paraId="68309C19">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2.3.4招标文件及其合同。</w:t>
      </w:r>
    </w:p>
    <w:p w14:paraId="7D591DB9">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2.3.5项目资金下达文件及资金使用管理制度，项目资金支付有关财务资料等。</w:t>
      </w:r>
    </w:p>
    <w:p w14:paraId="3DD3B84F">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2.4市级竣工验收条件</w:t>
      </w:r>
    </w:p>
    <w:p w14:paraId="5C41E1BA">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2.4.1县级验收中存在的问题已全部整改。</w:t>
      </w:r>
    </w:p>
    <w:p w14:paraId="4B415BF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2.4.2完成工程决算和审计，已按合同约定支付工程款。</w:t>
      </w:r>
    </w:p>
    <w:p w14:paraId="1AC955B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2.4.3工程管护制度已建立，管护主体已落实。</w:t>
      </w:r>
    </w:p>
    <w:p w14:paraId="069BAE2A">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2.4.4已完成立项、实施阶段项目上图入库工作。</w:t>
      </w:r>
    </w:p>
    <w:p w14:paraId="18618837">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2.4.5有具备相应资质单位出具的耕地质量等级评价报告。</w:t>
      </w:r>
    </w:p>
    <w:p w14:paraId="4923554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2.4.6有县、区级竣工验收报告、项目管理情况报告、资金管理使用情况报告等。</w:t>
      </w:r>
    </w:p>
    <w:p w14:paraId="78A049D0">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2.4.7已按照上级档案管理有关要求，完成建设项目各环节文件资料的收集、整理，项目档案健全，目录清晰，归档合理。</w:t>
      </w:r>
    </w:p>
    <w:p w14:paraId="00B5F27E">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2.5市级竣工验收时间</w:t>
      </w:r>
    </w:p>
    <w:p w14:paraId="514AF8AA">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县级农业农村部门2025年8月中旬完成所有建设项目县级验收工作，并及时向市级农业农村部门提出市级竣工验收申请，并附县级验收报告及附表。市级在接到县级验收申请后，5个工作日内，组织验收组开展验收工作。市级验收约8月下旬开始，9月底前全面完成市级验收。</w:t>
      </w:r>
    </w:p>
    <w:p w14:paraId="2E5CC033">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2.6验收人员组成</w:t>
      </w:r>
    </w:p>
    <w:p w14:paraId="5747E4C0">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验收组人员为不得少于5人的单数。成员具有水利或农业专业技术职称，或者具有会计师、造价工程师、水利工程师、监理工程师、咨询工程师（投资）等执业资格。</w:t>
      </w:r>
    </w:p>
    <w:p w14:paraId="06914277">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2.7市级竣工验收程序和方法：</w:t>
      </w:r>
    </w:p>
    <w:p w14:paraId="4137B838">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2.7.1县级农业农村部门提交市级竣工验收申请。</w:t>
      </w:r>
    </w:p>
    <w:p w14:paraId="56C57C1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2.7.2市农业农村部门组织制定验收方案，成立验收组，落实验收工作任务，下达验收通知。</w:t>
      </w:r>
    </w:p>
    <w:p w14:paraId="785FC696">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2.7.3验收组听取验收工作汇报。</w:t>
      </w:r>
    </w:p>
    <w:p w14:paraId="337CA47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汇报内容主要包括：项目计划情况、项目完成情况、资金使用情况、项目管理情况、县级初验情况、决算审计情况、市级验收准备工作情况、工程管护主体落实情况、绩效情况、好的做法和先进经验、存在问题和建议等。</w:t>
      </w:r>
    </w:p>
    <w:p w14:paraId="5B41FD9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2.7.4验收组查看音像及图版资料。</w:t>
      </w:r>
    </w:p>
    <w:p w14:paraId="59862BD1">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2.7.5验收组人员按建设内容分任务，将验收目标任务和工作责任分解落实到每一个验收组成员。</w:t>
      </w:r>
    </w:p>
    <w:p w14:paraId="1B222560">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2.7.6查看建设资料，工程实地抽查。</w:t>
      </w:r>
    </w:p>
    <w:p w14:paraId="51B0E2FA">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查项目建设范围，对照规划图，看治理任务是否完成；查项目规划，对照规划图，看规划布局是否合理；查项目建设情况，对照批复，看工程数量是否足实；查工程形象和外观质量，对照设计图，看工程形象和外观质量是否符合要求；查内业文档资料，对照项目管理规定，看建设档案是否完整、规范；查财务账簿、凭证，对照财务管理规定，看资金支付结算是否规范；查问题整改情况，对照县级验收报告、审计报告，看问题整改是否落实到位。</w:t>
      </w:r>
    </w:p>
    <w:p w14:paraId="128B37C1">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2.7.7验收组内部汇总查验结果，提出整改意见和建议。</w:t>
      </w:r>
    </w:p>
    <w:p w14:paraId="5546F682">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2.7.8县级农业农村部门整改落实，报送整改报告，市农业农村局和服务机构跟踪整改落实情况。</w:t>
      </w:r>
    </w:p>
    <w:p w14:paraId="058591E2">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2.7.9验收组提交市级竣工验收报告。</w:t>
      </w:r>
    </w:p>
    <w:p w14:paraId="36AD92B3">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2.8验收结论。</w:t>
      </w:r>
    </w:p>
    <w:p w14:paraId="0F908A5B">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验收结论分为“合格”与“不合格”两类。凡是存在不符合下述标准之一的，均列为“不合格”项目：</w:t>
      </w:r>
    </w:p>
    <w:p w14:paraId="349B02B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2.8.1严格执行项目法人制和国家有关招标投标、政府采购、合同管理、工程监理、资金和项目公示等规定。</w:t>
      </w:r>
    </w:p>
    <w:p w14:paraId="0342590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2.8.2按照批复的初步设计和实施计划完成所有建设内容。</w:t>
      </w:r>
    </w:p>
    <w:p w14:paraId="5FD9DF56">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2.8.3工程质量达到设计要求。</w:t>
      </w:r>
    </w:p>
    <w:p w14:paraId="230E138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2.8.4耕地质量建设措施覆盖面积达到建设区面积的90％以上，耕地质量有所提升（确定提升等级）。</w:t>
      </w:r>
    </w:p>
    <w:p w14:paraId="08AFE91E">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2.8.5落实建后管护责任。</w:t>
      </w:r>
    </w:p>
    <w:p w14:paraId="0BC29BAB">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2.8.6完成项目上图入库工作。</w:t>
      </w:r>
    </w:p>
    <w:p w14:paraId="18A0E3D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市农业农村局汇总全市验收结果及时报省农业农村厅，并向各县区通报。</w:t>
      </w:r>
    </w:p>
    <w:p w14:paraId="77966377">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服务要求</w:t>
      </w:r>
    </w:p>
    <w:bookmarkEnd w:id="502"/>
    <w:bookmarkEnd w:id="503"/>
    <w:bookmarkEnd w:id="504"/>
    <w:p w14:paraId="55C6779B">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3.1验收单位不得与所验收的项目建设各方主体存在利害关系。</w:t>
      </w:r>
    </w:p>
    <w:p w14:paraId="486A6232">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3.2验收单位须针对验收项目配备结构合理、数量适当、人员稳定的专业队伍。</w:t>
      </w:r>
    </w:p>
    <w:p w14:paraId="4EAC72F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3.3验收单位要配备相应的投影仪、相机、电脑等设备，在验收过程中收集音像、会议记录、整改意见和整改报告、验收报告等资料，验收结束后，一并归整交委托人。</w:t>
      </w:r>
    </w:p>
    <w:p w14:paraId="2F3AF000">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3.4验收单位验收项目时须执行国家和省、市相关政策、法规和标准。</w:t>
      </w:r>
    </w:p>
    <w:p w14:paraId="52B9A75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3.5验收单位须遵守职业道德，对执业中知悉的商业秘密及其他秘密事项予以保密。</w:t>
      </w:r>
    </w:p>
    <w:p w14:paraId="6E280716">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3.6验收单位要提供回弹仪、米尺、测距仪等检测工具。</w:t>
      </w:r>
    </w:p>
    <w:p w14:paraId="51D03F50">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lang w:eastAsia="zh-CN"/>
          <w14:textFill>
            <w14:solidFill>
              <w14:schemeClr w14:val="tx1"/>
            </w14:solidFill>
          </w14:textFill>
        </w:rPr>
        <w:t>报价要求</w:t>
      </w:r>
    </w:p>
    <w:p w14:paraId="37957FAF">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应商的投标报价应包含但不限于完成采购范围内所有工作内容所涉及的运输、交通、食宿、差旅、人工费等一切费用，采购人不再对中标价格另行调整。供应商投标前应进行现状调查及分析，各种风险须充分考虑。成交后不得以任何理由增加费用。供应商在中标及合同履约期内，不得以任何理由要求对服务范围及服务内容进行变更或拒绝服务。报价不得高于项目最高投标限价，否则其响应文件将被认定为响应无效。</w:t>
      </w:r>
    </w:p>
    <w:p w14:paraId="74BDAB1A">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6DE14911">
      <w:pPr>
        <w:pStyle w:val="5"/>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附件1</w:t>
      </w:r>
    </w:p>
    <w:p w14:paraId="72E9778F">
      <w:pPr>
        <w:pStyle w:val="6"/>
        <w:bidi w:val="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淮南市2024年度高标准农田建设项目市级竣工验收核查要点</w:t>
      </w:r>
    </w:p>
    <w:p w14:paraId="6835236D">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一、档案资料核查要点。</w:t>
      </w:r>
    </w:p>
    <w:p w14:paraId="4A0B91C2">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核查项目规划、项目库及项目评审专家库建立和管理情况。核查项目立项、征求群众意见及公开公示情况。核查项目计划、初步设计及调整计划批复和施工合同、竣工统计表、田间工程、工程决算、资金结算的一致性。核查立项、计划、招标、设计、施工、移交等建设过程资料的规范性、完整性，是否按照省厅要求分类整理。核查耕地质量建设工作开展情况。核查上图入库工作情况。核查项目档案收集整理归档管理情况等。</w:t>
      </w:r>
    </w:p>
    <w:p w14:paraId="4EDE45FA">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二、现场核查要点</w:t>
      </w:r>
    </w:p>
    <w:p w14:paraId="35F964D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(一)总体形象。根据项目工程布局、各项措施建设标准和管护情况，确定项目区总体形象。</w:t>
      </w:r>
    </w:p>
    <w:p w14:paraId="18105E2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单项建筑物。按建筑物类型，对照档案资料，逐项分类检查，单类建筑物100%验收查验。重点检查工程布局、设计是否合理，外观质量是否达到设计要求，各类工程规格、编号、位置是否与设计图、竣工图一致，废旧建筑物拆除及建筑垃圾清理是否到位。</w:t>
      </w:r>
    </w:p>
    <w:p w14:paraId="04FFC1B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灌排设施。沟、渠、涵、闸等数量是否按设计完成、质量是否达到设计要求，堆土是否平整、标准，排涝沟是否平直、通畅、相互贯通；管灌工程查验，水源建筑物（灌溉站）100%验收查验，查验每个水源建筑物控制的管道、出水口及水源建筑物提供动力的输配电线路等等。</w:t>
      </w:r>
    </w:p>
    <w:p w14:paraId="4197303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(四)机耕路（桥）。核查路（桥）面、路基的宽度、厚度和长度、平整度、分缝等是否按设计图纸和标准完成，有无损毁现象。</w:t>
      </w:r>
    </w:p>
    <w:p w14:paraId="6164A235">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(五)农田防护林。按竣工图和竣工表随机抽查农田林网网格或林带，逐棵数出栽植的苗木数量和保存数量，计算出保存率和成活率，并评价栽植标准、整齐度和林相。</w:t>
      </w:r>
    </w:p>
    <w:p w14:paraId="19D16473">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(六)项目公示。查看项目区公示牌标准和具体内容是否符合要求。</w:t>
      </w:r>
    </w:p>
    <w:p w14:paraId="21B5C5CE">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三、财务核查要点</w:t>
      </w:r>
    </w:p>
    <w:p w14:paraId="4D262AA9">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按项目资金管理规定核查，必要时要深入项目区现场核对。</w:t>
      </w:r>
    </w:p>
    <w:p w14:paraId="0A9807F8">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（一）检查资金到位情况：要求各类资金要及时足额到位，重点核查地方配套资金到位情况，严防空转配套现象。</w:t>
      </w:r>
    </w:p>
    <w:p w14:paraId="3EC2ED44">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（二）检查资金的支付、决算进度和资金使用情况：检查计划批复的执行及资金使用情况，重点检查有无擅自调整、挤占挪用等违规现象及财政资金报账程序、手续的规范性。</w:t>
      </w:r>
    </w:p>
    <w:p w14:paraId="3F336FF1">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（三）账务处理情况：一是检查科目使用的规范性；二是核查明细账设置情况等。</w:t>
      </w:r>
    </w:p>
    <w:p w14:paraId="089580B7">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（四）逐笔审核审计中发现问题的整改落实情况。</w:t>
      </w:r>
    </w:p>
    <w:p w14:paraId="6B02AE78">
      <w:pPr>
        <w:pStyle w:val="5"/>
        <w:bidi w:val="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四、财政资金报账必备的财务手续：</w:t>
      </w:r>
    </w:p>
    <w:p w14:paraId="02718A21">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（一）土建工程类。批复文件、开工报告、申请表、工程量清单、发票、承包合同、工程竣工决算，招标工程还必须提供中标通知书，需要审计的要附审计报告。</w:t>
      </w:r>
    </w:p>
    <w:p w14:paraId="5256EF82">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（二）物货类。招标类：申请书、中标通知书、购销合同、发票、验收单、发放领收手续。非招标类：合同、申请书、发票、验收单、发放领收手续等。</w:t>
      </w:r>
    </w:p>
    <w:p w14:paraId="239E47CC">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（三）服务类。科技示范：申请书、合同、发票、实施方案，验收单、领用单、实施总结。培训：申请书、合同、发票、会议通知、签到簿、讲课费领条、培训方案等。</w:t>
      </w:r>
    </w:p>
    <w:p w14:paraId="309931DA">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40"/>
        <w:gridCol w:w="1436"/>
        <w:gridCol w:w="6448"/>
      </w:tblGrid>
      <w:tr w14:paraId="79E2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82" w:type="dxa"/>
            <w:gridSpan w:val="4"/>
            <w:vMerge w:val="restart"/>
            <w:tcBorders>
              <w:top w:val="nil"/>
              <w:left w:val="nil"/>
              <w:bottom w:val="nil"/>
              <w:right w:val="nil"/>
            </w:tcBorders>
            <w:noWrap w:val="0"/>
            <w:vAlign w:val="center"/>
          </w:tcPr>
          <w:p w14:paraId="02415DEB">
            <w:pPr>
              <w:widowControl/>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高标准农田建设项目验收检查要点</w:t>
            </w:r>
          </w:p>
        </w:tc>
      </w:tr>
      <w:tr w14:paraId="35B7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82" w:type="dxa"/>
            <w:gridSpan w:val="4"/>
            <w:vMerge w:val="continue"/>
            <w:tcBorders>
              <w:top w:val="nil"/>
              <w:left w:val="nil"/>
              <w:bottom w:val="nil"/>
              <w:right w:val="nil"/>
            </w:tcBorders>
            <w:noWrap w:val="0"/>
            <w:vAlign w:val="center"/>
          </w:tcPr>
          <w:p w14:paraId="3CACEB3C">
            <w:pPr>
              <w:widowControl/>
              <w:jc w:val="left"/>
              <w:rPr>
                <w:rFonts w:ascii="宋体" w:hAnsi="宋体" w:cs="宋体"/>
                <w:b/>
                <w:bCs/>
                <w:color w:val="000000" w:themeColor="text1"/>
                <w:kern w:val="0"/>
                <w:sz w:val="32"/>
                <w:szCs w:val="32"/>
                <w:highlight w:val="none"/>
                <w14:textFill>
                  <w14:solidFill>
                    <w14:schemeClr w14:val="tx1"/>
                  </w14:solidFill>
                </w14:textFill>
              </w:rPr>
            </w:pPr>
          </w:p>
        </w:tc>
      </w:tr>
      <w:tr w14:paraId="6D73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34" w:type="dxa"/>
            <w:gridSpan w:val="3"/>
            <w:tcBorders>
              <w:top w:val="nil"/>
              <w:left w:val="nil"/>
              <w:bottom w:val="single" w:color="auto" w:sz="4" w:space="0"/>
              <w:right w:val="nil"/>
            </w:tcBorders>
            <w:noWrap w:val="0"/>
            <w:vAlign w:val="center"/>
          </w:tcPr>
          <w:p w14:paraId="062B0C98">
            <w:pPr>
              <w:widowControl/>
              <w:jc w:val="left"/>
              <w:rPr>
                <w:rFonts w:ascii="楷体_GB2312" w:hAnsi="宋体" w:eastAsia="楷体_GB2312" w:cs="宋体"/>
                <w:color w:val="000000" w:themeColor="text1"/>
                <w:kern w:val="0"/>
                <w:sz w:val="24"/>
                <w:highlight w:val="none"/>
                <w14:textFill>
                  <w14:solidFill>
                    <w14:schemeClr w14:val="tx1"/>
                  </w14:solidFill>
                </w14:textFill>
              </w:rPr>
            </w:pPr>
            <w:r>
              <w:rPr>
                <w:rFonts w:hint="eastAsia" w:ascii="楷体_GB2312" w:hAnsi="宋体" w:eastAsia="楷体_GB2312" w:cs="宋体"/>
                <w:color w:val="000000" w:themeColor="text1"/>
                <w:kern w:val="0"/>
                <w:sz w:val="24"/>
                <w:highlight w:val="none"/>
                <w14:textFill>
                  <w14:solidFill>
                    <w14:schemeClr w14:val="tx1"/>
                  </w14:solidFill>
                </w14:textFill>
              </w:rPr>
              <w:t>项目名称：</w:t>
            </w:r>
          </w:p>
        </w:tc>
        <w:tc>
          <w:tcPr>
            <w:tcW w:w="6448" w:type="dxa"/>
            <w:tcBorders>
              <w:top w:val="nil"/>
              <w:left w:val="nil"/>
              <w:bottom w:val="single" w:color="auto" w:sz="4" w:space="0"/>
              <w:right w:val="nil"/>
            </w:tcBorders>
            <w:noWrap w:val="0"/>
            <w:vAlign w:val="center"/>
          </w:tcPr>
          <w:p w14:paraId="0D84CFD9">
            <w:pPr>
              <w:widowControl/>
              <w:jc w:val="left"/>
              <w:rPr>
                <w:rFonts w:ascii="楷体_GB2312" w:hAnsi="宋体" w:eastAsia="楷体_GB2312" w:cs="宋体"/>
                <w:color w:val="000000" w:themeColor="text1"/>
                <w:kern w:val="0"/>
                <w:sz w:val="24"/>
                <w:highlight w:val="none"/>
                <w14:textFill>
                  <w14:solidFill>
                    <w14:schemeClr w14:val="tx1"/>
                  </w14:solidFill>
                </w14:textFill>
              </w:rPr>
            </w:pPr>
          </w:p>
        </w:tc>
      </w:tr>
      <w:tr w14:paraId="2682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8" w:type="dxa"/>
            <w:gridSpan w:val="2"/>
            <w:tcBorders>
              <w:top w:val="single" w:color="auto" w:sz="4" w:space="0"/>
            </w:tcBorders>
            <w:noWrap w:val="0"/>
            <w:vAlign w:val="center"/>
          </w:tcPr>
          <w:p w14:paraId="7AC14C6A">
            <w:pPr>
              <w:widowControl/>
              <w:jc w:val="center"/>
              <w:rPr>
                <w:rFonts w:ascii="Courier New" w:hAnsi="Courier New" w:cs="Courier New"/>
                <w:b/>
                <w:bCs/>
                <w:color w:val="000000" w:themeColor="text1"/>
                <w:kern w:val="0"/>
                <w:sz w:val="22"/>
                <w:szCs w:val="22"/>
                <w:highlight w:val="none"/>
                <w14:textFill>
                  <w14:solidFill>
                    <w14:schemeClr w14:val="tx1"/>
                  </w14:solidFill>
                </w14:textFill>
              </w:rPr>
            </w:pPr>
            <w:r>
              <w:rPr>
                <w:rFonts w:ascii="Courier New" w:hAnsi="Courier New" w:cs="Courier New"/>
                <w:b/>
                <w:bCs/>
                <w:color w:val="000000" w:themeColor="text1"/>
                <w:kern w:val="0"/>
                <w:sz w:val="22"/>
                <w:szCs w:val="22"/>
                <w:highlight w:val="none"/>
                <w14:textFill>
                  <w14:solidFill>
                    <w14:schemeClr w14:val="tx1"/>
                  </w14:solidFill>
                </w14:textFill>
              </w:rPr>
              <w:t>查验的关键环节和内容</w:t>
            </w:r>
          </w:p>
        </w:tc>
        <w:tc>
          <w:tcPr>
            <w:tcW w:w="1436" w:type="dxa"/>
            <w:tcBorders>
              <w:top w:val="single" w:color="auto" w:sz="4" w:space="0"/>
            </w:tcBorders>
            <w:noWrap w:val="0"/>
            <w:vAlign w:val="center"/>
          </w:tcPr>
          <w:p w14:paraId="67E95EEC">
            <w:pPr>
              <w:widowControl/>
              <w:jc w:val="center"/>
              <w:rPr>
                <w:rFonts w:ascii="Courier New" w:hAnsi="Courier New" w:cs="Courier New"/>
                <w:b/>
                <w:bCs/>
                <w:color w:val="000000" w:themeColor="text1"/>
                <w:kern w:val="0"/>
                <w:sz w:val="22"/>
                <w:szCs w:val="22"/>
                <w:highlight w:val="none"/>
                <w14:textFill>
                  <w14:solidFill>
                    <w14:schemeClr w14:val="tx1"/>
                  </w14:solidFill>
                </w14:textFill>
              </w:rPr>
            </w:pPr>
            <w:r>
              <w:rPr>
                <w:rFonts w:ascii="Courier New" w:hAnsi="Courier New" w:cs="Courier New"/>
                <w:b/>
                <w:bCs/>
                <w:color w:val="000000" w:themeColor="text1"/>
                <w:kern w:val="0"/>
                <w:sz w:val="22"/>
                <w:szCs w:val="22"/>
                <w:highlight w:val="none"/>
                <w14:textFill>
                  <w14:solidFill>
                    <w14:schemeClr w14:val="tx1"/>
                  </w14:solidFill>
                </w14:textFill>
              </w:rPr>
              <w:t>查验的关键问题</w:t>
            </w:r>
          </w:p>
        </w:tc>
        <w:tc>
          <w:tcPr>
            <w:tcW w:w="6448" w:type="dxa"/>
            <w:tcBorders>
              <w:top w:val="single" w:color="auto" w:sz="4" w:space="0"/>
            </w:tcBorders>
            <w:noWrap w:val="0"/>
            <w:vAlign w:val="center"/>
          </w:tcPr>
          <w:p w14:paraId="1A64F287">
            <w:pPr>
              <w:widowControl/>
              <w:jc w:val="center"/>
              <w:rPr>
                <w:rFonts w:ascii="Courier New" w:hAnsi="Courier New" w:cs="Courier New"/>
                <w:b/>
                <w:bCs/>
                <w:color w:val="000000" w:themeColor="text1"/>
                <w:kern w:val="0"/>
                <w:sz w:val="22"/>
                <w:szCs w:val="22"/>
                <w:highlight w:val="none"/>
                <w14:textFill>
                  <w14:solidFill>
                    <w14:schemeClr w14:val="tx1"/>
                  </w14:solidFill>
                </w14:textFill>
              </w:rPr>
            </w:pPr>
            <w:r>
              <w:rPr>
                <w:rFonts w:ascii="Courier New" w:hAnsi="Courier New" w:cs="Courier New"/>
                <w:b/>
                <w:bCs/>
                <w:color w:val="000000" w:themeColor="text1"/>
                <w:kern w:val="0"/>
                <w:sz w:val="22"/>
                <w:szCs w:val="22"/>
                <w:highlight w:val="none"/>
                <w14:textFill>
                  <w14:solidFill>
                    <w14:schemeClr w14:val="tx1"/>
                  </w14:solidFill>
                </w14:textFill>
              </w:rPr>
              <w:t>检查核查的方式和方法</w:t>
            </w:r>
          </w:p>
        </w:tc>
      </w:tr>
      <w:tr w14:paraId="2C68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246D3CF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一、前期工作</w:t>
            </w:r>
          </w:p>
        </w:tc>
        <w:tc>
          <w:tcPr>
            <w:tcW w:w="840" w:type="dxa"/>
            <w:vMerge w:val="restart"/>
            <w:noWrap w:val="0"/>
            <w:vAlign w:val="center"/>
          </w:tcPr>
          <w:p w14:paraId="64783058">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1、规划</w:t>
            </w:r>
          </w:p>
        </w:tc>
        <w:tc>
          <w:tcPr>
            <w:tcW w:w="1436" w:type="dxa"/>
            <w:noWrap w:val="0"/>
            <w:vAlign w:val="center"/>
          </w:tcPr>
          <w:p w14:paraId="5C773040">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（1）无规划</w:t>
            </w:r>
          </w:p>
        </w:tc>
        <w:tc>
          <w:tcPr>
            <w:tcW w:w="6448" w:type="dxa"/>
            <w:noWrap w:val="0"/>
            <w:vAlign w:val="center"/>
          </w:tcPr>
          <w:p w14:paraId="66D226D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查档案，看是否有规划。</w:t>
            </w:r>
          </w:p>
        </w:tc>
      </w:tr>
      <w:tr w14:paraId="3526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7903E72">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3C1BB47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3A327F08">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（2）不按规划申报项目</w:t>
            </w:r>
          </w:p>
        </w:tc>
        <w:tc>
          <w:tcPr>
            <w:tcW w:w="6448" w:type="dxa"/>
            <w:noWrap w:val="0"/>
            <w:vAlign w:val="center"/>
          </w:tcPr>
          <w:p w14:paraId="1D65736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查档案，对照立项项目资料，看是否在规划范围内申报项目。</w:t>
            </w:r>
          </w:p>
        </w:tc>
      </w:tr>
      <w:tr w14:paraId="283B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74C469C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35BCBCBE">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2、项目库管理</w:t>
            </w:r>
          </w:p>
        </w:tc>
        <w:tc>
          <w:tcPr>
            <w:tcW w:w="1436" w:type="dxa"/>
            <w:noWrap w:val="0"/>
            <w:vAlign w:val="center"/>
          </w:tcPr>
          <w:p w14:paraId="01322738">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（1）无项目入库申报材料</w:t>
            </w:r>
          </w:p>
        </w:tc>
        <w:tc>
          <w:tcPr>
            <w:tcW w:w="6448" w:type="dxa"/>
            <w:noWrap w:val="0"/>
            <w:vAlign w:val="center"/>
          </w:tcPr>
          <w:p w14:paraId="435F1CF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查档案，看立项项目是否编制建议书或可行性研究报告。</w:t>
            </w:r>
          </w:p>
        </w:tc>
      </w:tr>
      <w:tr w14:paraId="3D0B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3F3D16B">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4F82774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49D57B92">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（2）项目库动态维护差</w:t>
            </w:r>
          </w:p>
        </w:tc>
        <w:tc>
          <w:tcPr>
            <w:tcW w:w="6448" w:type="dxa"/>
            <w:noWrap w:val="0"/>
            <w:vAlign w:val="center"/>
          </w:tcPr>
          <w:p w14:paraId="3F11F12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查档案，看是否有入库批准文件，立项项目是否在项目库内，是否有入库公示。</w:t>
            </w:r>
          </w:p>
        </w:tc>
      </w:tr>
      <w:tr w14:paraId="0E6E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B476C9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400E858A">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1A932AE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（2）入库报告编制粗糙</w:t>
            </w:r>
          </w:p>
        </w:tc>
        <w:tc>
          <w:tcPr>
            <w:tcW w:w="6448" w:type="dxa"/>
            <w:noWrap w:val="0"/>
            <w:vAlign w:val="center"/>
          </w:tcPr>
          <w:p w14:paraId="07520F8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查项目建议书或可行性研究报告，看是否有资质的单位编制；内容是否齐全；分析是否准确；提出的目标、措施是否合理。</w:t>
            </w:r>
          </w:p>
        </w:tc>
      </w:tr>
      <w:tr w14:paraId="5669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479A90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3D3D91D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67C5A3E2">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（3）未征求农民意见</w:t>
            </w:r>
          </w:p>
        </w:tc>
        <w:tc>
          <w:tcPr>
            <w:tcW w:w="6448" w:type="dxa"/>
            <w:noWrap w:val="0"/>
            <w:vAlign w:val="center"/>
          </w:tcPr>
          <w:p w14:paraId="58F03A6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查项目建议书或可行性研究报告，看是否有拟建项目村农民代表大会记录，有农民自愿实施项目、承诺自筹资金的意见签字表。</w:t>
            </w:r>
          </w:p>
        </w:tc>
      </w:tr>
      <w:tr w14:paraId="031C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A7E284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0B41DA0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302D7BB9">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（4）乡镇积极性不高</w:t>
            </w:r>
          </w:p>
        </w:tc>
        <w:tc>
          <w:tcPr>
            <w:tcW w:w="6448" w:type="dxa"/>
            <w:noWrap w:val="0"/>
            <w:vAlign w:val="center"/>
          </w:tcPr>
          <w:p w14:paraId="7073A81B">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查申报材料，看项目是否有乡镇积极申请项目的报告，是否有积极配合项目实施的措施。</w:t>
            </w:r>
          </w:p>
        </w:tc>
      </w:tr>
      <w:tr w14:paraId="1DC1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0099B3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0C47AED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2B8FAF4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（5）未开展论证</w:t>
            </w:r>
          </w:p>
        </w:tc>
        <w:tc>
          <w:tcPr>
            <w:tcW w:w="6448" w:type="dxa"/>
            <w:noWrap w:val="0"/>
            <w:vAlign w:val="center"/>
          </w:tcPr>
          <w:p w14:paraId="7C64B59A">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查评估材料，看项目是否有县农业农村局组织有关专家到项目现场考察的记录及入库评估论证报告。</w:t>
            </w:r>
          </w:p>
        </w:tc>
      </w:tr>
      <w:tr w14:paraId="72C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4B27D3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noWrap w:val="0"/>
            <w:vAlign w:val="center"/>
          </w:tcPr>
          <w:p w14:paraId="46442845">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 w:val="22"/>
                <w:szCs w:val="22"/>
                <w:highlight w:val="none"/>
                <w14:textFill>
                  <w14:solidFill>
                    <w14:schemeClr w14:val="tx1"/>
                  </w14:solidFill>
                </w14:textFill>
              </w:rPr>
              <w:t>、上图入库</w:t>
            </w:r>
          </w:p>
        </w:tc>
        <w:tc>
          <w:tcPr>
            <w:tcW w:w="1436" w:type="dxa"/>
            <w:noWrap w:val="0"/>
            <w:vAlign w:val="center"/>
          </w:tcPr>
          <w:p w14:paraId="26EA959B">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（1）上图入库前审</w:t>
            </w:r>
          </w:p>
        </w:tc>
        <w:tc>
          <w:tcPr>
            <w:tcW w:w="6448" w:type="dxa"/>
            <w:noWrap w:val="0"/>
            <w:vAlign w:val="center"/>
          </w:tcPr>
          <w:p w14:paraId="21F35AF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查档案资料，看项目规划前是否开展上图入库审核，是否与入库项目重叠。</w:t>
            </w:r>
          </w:p>
        </w:tc>
      </w:tr>
      <w:tr w14:paraId="612B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4EEB4807">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二、计划管理</w:t>
            </w:r>
          </w:p>
        </w:tc>
        <w:tc>
          <w:tcPr>
            <w:tcW w:w="840" w:type="dxa"/>
            <w:vMerge w:val="restart"/>
            <w:noWrap w:val="0"/>
            <w:vAlign w:val="center"/>
          </w:tcPr>
          <w:p w14:paraId="081E819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1、初设编制审批</w:t>
            </w:r>
          </w:p>
        </w:tc>
        <w:tc>
          <w:tcPr>
            <w:tcW w:w="1436" w:type="dxa"/>
            <w:noWrap w:val="0"/>
            <w:vAlign w:val="center"/>
          </w:tcPr>
          <w:p w14:paraId="3AAEBC0B">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（1）初设不规范</w:t>
            </w:r>
          </w:p>
        </w:tc>
        <w:tc>
          <w:tcPr>
            <w:tcW w:w="6448" w:type="dxa"/>
            <w:noWrap w:val="0"/>
            <w:vAlign w:val="center"/>
          </w:tcPr>
          <w:p w14:paraId="0C83BCE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通过查看项目区工程布局，对照初步设计，看初设是否符合高标准农田相关政策。</w:t>
            </w:r>
          </w:p>
        </w:tc>
      </w:tr>
      <w:tr w14:paraId="06CC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461D83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65940AD2">
            <w:pPr>
              <w:jc w:val="center"/>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472D6D17">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（2）初设编制粗糙</w:t>
            </w:r>
          </w:p>
        </w:tc>
        <w:tc>
          <w:tcPr>
            <w:tcW w:w="6448" w:type="dxa"/>
            <w:noWrap w:val="0"/>
            <w:vAlign w:val="center"/>
          </w:tcPr>
          <w:p w14:paraId="5DA38BC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查初步设计，看是否有专业资质或能力的单位编制；工程配置是否合理，是否保证功能发挥；是否存在无工程概算，治理措施内容编制不细致、不全面，骨干工程无设计图，图表不一致等问题。</w:t>
            </w:r>
          </w:p>
        </w:tc>
      </w:tr>
      <w:tr w14:paraId="62FE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3230C72">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7C79E20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417406C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w:t>
            </w:r>
            <w:r>
              <w:rPr>
                <w:rFonts w:ascii="仿宋_GB2312" w:hAnsi="宋体" w:eastAsia="仿宋_GB2312" w:cs="宋体"/>
                <w:color w:val="000000" w:themeColor="text1"/>
                <w:kern w:val="0"/>
                <w:sz w:val="22"/>
                <w:szCs w:val="22"/>
                <w:highlight w:val="none"/>
                <w14:textFill>
                  <w14:solidFill>
                    <w14:schemeClr w14:val="tx1"/>
                  </w14:solidFill>
                </w14:textFill>
              </w:rPr>
              <w:t>3</w:t>
            </w:r>
            <w:r>
              <w:rPr>
                <w:rFonts w:hint="eastAsia" w:ascii="仿宋_GB2312" w:hAnsi="宋体" w:eastAsia="仿宋_GB2312" w:cs="宋体"/>
                <w:color w:val="000000" w:themeColor="text1"/>
                <w:kern w:val="0"/>
                <w:sz w:val="22"/>
                <w:szCs w:val="22"/>
                <w:highlight w:val="none"/>
                <w14:textFill>
                  <w14:solidFill>
                    <w14:schemeClr w14:val="tx1"/>
                  </w14:solidFill>
                </w14:textFill>
              </w:rPr>
              <w:t>）审批不认真</w:t>
            </w:r>
          </w:p>
        </w:tc>
        <w:tc>
          <w:tcPr>
            <w:tcW w:w="6448" w:type="dxa"/>
            <w:noWrap w:val="0"/>
            <w:vAlign w:val="center"/>
          </w:tcPr>
          <w:p w14:paraId="7BD43B9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查审批文件，看审批程序是否到位，审批内容是否细致，形成的审批文件资料是否齐全、数据是否准确。是否开展评审论证。是否按照评审意见修改初步设计。</w:t>
            </w:r>
          </w:p>
        </w:tc>
      </w:tr>
      <w:tr w14:paraId="31B6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43F4DF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0F9E1D25">
            <w:pPr>
              <w:widowControl/>
              <w:jc w:val="center"/>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2</w:t>
            </w:r>
            <w:r>
              <w:rPr>
                <w:rFonts w:hint="eastAsia" w:ascii="仿宋_GB2312" w:eastAsia="仿宋_GB2312"/>
                <w:color w:val="000000" w:themeColor="text1"/>
                <w:kern w:val="0"/>
                <w:sz w:val="22"/>
                <w:szCs w:val="22"/>
                <w:highlight w:val="none"/>
                <w14:textFill>
                  <w14:solidFill>
                    <w14:schemeClr w14:val="tx1"/>
                  </w14:solidFill>
                </w14:textFill>
              </w:rPr>
              <w:t>、计划执行和调整</w:t>
            </w:r>
          </w:p>
        </w:tc>
        <w:tc>
          <w:tcPr>
            <w:tcW w:w="1436" w:type="dxa"/>
            <w:noWrap w:val="0"/>
            <w:vAlign w:val="center"/>
          </w:tcPr>
          <w:p w14:paraId="73CC067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（1）工程变更大</w:t>
            </w:r>
          </w:p>
        </w:tc>
        <w:tc>
          <w:tcPr>
            <w:tcW w:w="6448" w:type="dxa"/>
            <w:noWrap w:val="0"/>
            <w:vAlign w:val="center"/>
          </w:tcPr>
          <w:p w14:paraId="449D66D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查调整资料，对照初设和批复，是否严格按批复计划执行，计算调整面（除招标</w:t>
            </w:r>
            <w:r>
              <w:rPr>
                <w:rFonts w:hint="eastAsia" w:ascii="仿宋_GB2312" w:hAnsi="宋体" w:eastAsia="仿宋_GB2312" w:cs="宋体"/>
                <w:color w:val="000000" w:themeColor="text1"/>
                <w:kern w:val="0"/>
                <w:sz w:val="22"/>
                <w:szCs w:val="22"/>
                <w:highlight w:val="none"/>
                <w:lang w:eastAsia="zh-CN"/>
                <w14:textFill>
                  <w14:solidFill>
                    <w14:schemeClr w14:val="tx1"/>
                  </w14:solidFill>
                </w14:textFill>
              </w:rPr>
              <w:t>结余</w:t>
            </w:r>
            <w:r>
              <w:rPr>
                <w:rFonts w:hint="eastAsia" w:ascii="仿宋_GB2312" w:hAnsi="宋体" w:eastAsia="仿宋_GB2312" w:cs="宋体"/>
                <w:color w:val="000000" w:themeColor="text1"/>
                <w:kern w:val="0"/>
                <w:sz w:val="22"/>
                <w:szCs w:val="22"/>
                <w:highlight w:val="none"/>
                <w14:textFill>
                  <w14:solidFill>
                    <w14:schemeClr w14:val="tx1"/>
                  </w14:solidFill>
                </w14:textFill>
              </w:rPr>
              <w:t>再安排外，超计划的15%为调整面）；看项目工程，查是否有工程未严格按计划批复和设计图纸施工。</w:t>
            </w:r>
          </w:p>
        </w:tc>
      </w:tr>
      <w:tr w14:paraId="3261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A26852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50C9B0A5">
            <w:pPr>
              <w:widowControl/>
              <w:jc w:val="center"/>
              <w:rPr>
                <w:color w:val="000000" w:themeColor="text1"/>
                <w:kern w:val="0"/>
                <w:sz w:val="22"/>
                <w:szCs w:val="22"/>
                <w:highlight w:val="none"/>
                <w14:textFill>
                  <w14:solidFill>
                    <w14:schemeClr w14:val="tx1"/>
                  </w14:solidFill>
                </w14:textFill>
              </w:rPr>
            </w:pPr>
          </w:p>
        </w:tc>
        <w:tc>
          <w:tcPr>
            <w:tcW w:w="1436" w:type="dxa"/>
            <w:noWrap w:val="0"/>
            <w:vAlign w:val="center"/>
          </w:tcPr>
          <w:p w14:paraId="4FF2239E">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w:t>
            </w:r>
            <w:r>
              <w:rPr>
                <w:rFonts w:ascii="仿宋_GB2312" w:hAnsi="宋体" w:eastAsia="仿宋_GB2312" w:cs="宋体"/>
                <w:color w:val="000000" w:themeColor="text1"/>
                <w:kern w:val="0"/>
                <w:sz w:val="22"/>
                <w:szCs w:val="22"/>
                <w:highlight w:val="none"/>
                <w14:textFill>
                  <w14:solidFill>
                    <w14:schemeClr w14:val="tx1"/>
                  </w14:solidFill>
                </w14:textFill>
              </w:rPr>
              <w:t>2</w:t>
            </w:r>
            <w:r>
              <w:rPr>
                <w:rFonts w:hint="eastAsia" w:ascii="仿宋_GB2312" w:hAnsi="宋体" w:eastAsia="仿宋_GB2312" w:cs="宋体"/>
                <w:color w:val="000000" w:themeColor="text1"/>
                <w:kern w:val="0"/>
                <w:sz w:val="22"/>
                <w:szCs w:val="22"/>
                <w:highlight w:val="none"/>
                <w14:textFill>
                  <w14:solidFill>
                    <w14:schemeClr w14:val="tx1"/>
                  </w14:solidFill>
                </w14:textFill>
              </w:rPr>
              <w:t>）调整无报批</w:t>
            </w:r>
          </w:p>
        </w:tc>
        <w:tc>
          <w:tcPr>
            <w:tcW w:w="6448" w:type="dxa"/>
            <w:noWrap w:val="0"/>
            <w:vAlign w:val="center"/>
          </w:tcPr>
          <w:p w14:paraId="7912F07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查审批文件、合同及</w:t>
            </w:r>
            <w:r>
              <w:rPr>
                <w:rFonts w:hint="eastAsia" w:ascii="仿宋_GB2312" w:hAnsi="宋体" w:eastAsia="仿宋_GB2312" w:cs="宋体"/>
                <w:color w:val="000000" w:themeColor="text1"/>
                <w:kern w:val="0"/>
                <w:sz w:val="22"/>
                <w:szCs w:val="22"/>
                <w:highlight w:val="none"/>
                <w:lang w:eastAsia="zh-CN"/>
                <w14:textFill>
                  <w14:solidFill>
                    <w14:schemeClr w14:val="tx1"/>
                  </w14:solidFill>
                </w14:textFill>
              </w:rPr>
              <w:t>结余</w:t>
            </w:r>
            <w:r>
              <w:rPr>
                <w:rFonts w:hint="eastAsia" w:ascii="仿宋_GB2312" w:hAnsi="宋体" w:eastAsia="仿宋_GB2312" w:cs="宋体"/>
                <w:color w:val="000000" w:themeColor="text1"/>
                <w:kern w:val="0"/>
                <w:sz w:val="22"/>
                <w:szCs w:val="22"/>
                <w:highlight w:val="none"/>
                <w14:textFill>
                  <w14:solidFill>
                    <w14:schemeClr w14:val="tx1"/>
                  </w14:solidFill>
                </w14:textFill>
              </w:rPr>
              <w:t>资金报批材料等、对现场，看招标</w:t>
            </w:r>
            <w:r>
              <w:rPr>
                <w:rFonts w:hint="eastAsia" w:ascii="仿宋_GB2312" w:hAnsi="宋体" w:eastAsia="仿宋_GB2312" w:cs="宋体"/>
                <w:color w:val="000000" w:themeColor="text1"/>
                <w:kern w:val="0"/>
                <w:sz w:val="22"/>
                <w:szCs w:val="22"/>
                <w:highlight w:val="none"/>
                <w:lang w:eastAsia="zh-CN"/>
                <w14:textFill>
                  <w14:solidFill>
                    <w14:schemeClr w14:val="tx1"/>
                  </w14:solidFill>
                </w14:textFill>
              </w:rPr>
              <w:t>结余</w:t>
            </w:r>
            <w:r>
              <w:rPr>
                <w:rFonts w:hint="eastAsia" w:ascii="仿宋_GB2312" w:hAnsi="宋体" w:eastAsia="仿宋_GB2312" w:cs="宋体"/>
                <w:color w:val="000000" w:themeColor="text1"/>
                <w:kern w:val="0"/>
                <w:sz w:val="22"/>
                <w:szCs w:val="22"/>
                <w:highlight w:val="none"/>
                <w14:textFill>
                  <w14:solidFill>
                    <w14:schemeClr w14:val="tx1"/>
                  </w14:solidFill>
                </w14:textFill>
              </w:rPr>
              <w:t>资金和调整的建设内容是否按管理权限履行调整报批手续。</w:t>
            </w:r>
          </w:p>
        </w:tc>
      </w:tr>
      <w:tr w14:paraId="756E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C93D35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noWrap w:val="0"/>
            <w:vAlign w:val="center"/>
          </w:tcPr>
          <w:p w14:paraId="27638892">
            <w:pPr>
              <w:widowControl/>
              <w:jc w:val="center"/>
              <w:rPr>
                <w:color w:val="000000" w:themeColor="text1"/>
                <w:kern w:val="0"/>
                <w:sz w:val="22"/>
                <w:szCs w:val="22"/>
                <w:highlight w:val="none"/>
                <w14:textFill>
                  <w14:solidFill>
                    <w14:schemeClr w14:val="tx1"/>
                  </w14:solidFill>
                </w14:textFill>
              </w:rPr>
            </w:pPr>
            <w:r>
              <w:rPr>
                <w:color w:val="000000" w:themeColor="text1"/>
                <w:kern w:val="0"/>
                <w:sz w:val="22"/>
                <w:szCs w:val="22"/>
                <w:highlight w:val="none"/>
                <w14:textFill>
                  <w14:solidFill>
                    <w14:schemeClr w14:val="tx1"/>
                  </w14:solidFill>
                </w14:textFill>
              </w:rPr>
              <w:t>3</w:t>
            </w:r>
            <w:r>
              <w:rPr>
                <w:rFonts w:hint="eastAsia" w:ascii="仿宋_GB2312" w:eastAsia="仿宋_GB2312"/>
                <w:color w:val="000000" w:themeColor="text1"/>
                <w:kern w:val="0"/>
                <w:sz w:val="22"/>
                <w:szCs w:val="22"/>
                <w:highlight w:val="none"/>
                <w14:textFill>
                  <w14:solidFill>
                    <w14:schemeClr w14:val="tx1"/>
                  </w14:solidFill>
                </w14:textFill>
              </w:rPr>
              <w:t>、完成进度</w:t>
            </w:r>
          </w:p>
        </w:tc>
        <w:tc>
          <w:tcPr>
            <w:tcW w:w="1436" w:type="dxa"/>
            <w:noWrap w:val="0"/>
            <w:vAlign w:val="center"/>
          </w:tcPr>
          <w:p w14:paraId="66C2AF78">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（1）进度慢、完成率低</w:t>
            </w:r>
          </w:p>
        </w:tc>
        <w:tc>
          <w:tcPr>
            <w:tcW w:w="6448" w:type="dxa"/>
            <w:noWrap w:val="0"/>
            <w:vAlign w:val="center"/>
          </w:tcPr>
          <w:p w14:paraId="4489B0C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查验收统计，对照计划计算进度；查项目工程查验收统计是否真实；根据合同、申验报告和现场查看，项目进度是否超出上级文件要求。</w:t>
            </w:r>
          </w:p>
        </w:tc>
      </w:tr>
      <w:tr w14:paraId="6765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5D975A35">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三、建设管理</w:t>
            </w:r>
          </w:p>
        </w:tc>
        <w:tc>
          <w:tcPr>
            <w:tcW w:w="840" w:type="dxa"/>
            <w:vMerge w:val="restart"/>
            <w:noWrap w:val="0"/>
            <w:vAlign w:val="center"/>
          </w:tcPr>
          <w:p w14:paraId="10BB80A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1、招标采购</w:t>
            </w:r>
          </w:p>
        </w:tc>
        <w:tc>
          <w:tcPr>
            <w:tcW w:w="1436" w:type="dxa"/>
            <w:noWrap w:val="0"/>
            <w:vAlign w:val="center"/>
          </w:tcPr>
          <w:p w14:paraId="0B0CE65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（1）招标方案未进行前审</w:t>
            </w:r>
          </w:p>
        </w:tc>
        <w:tc>
          <w:tcPr>
            <w:tcW w:w="6448" w:type="dxa"/>
            <w:noWrap w:val="0"/>
            <w:vAlign w:val="center"/>
          </w:tcPr>
          <w:p w14:paraId="2F9E71F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查档案，看项目招标工作方案是否按要求审查备案。</w:t>
            </w:r>
          </w:p>
        </w:tc>
      </w:tr>
      <w:tr w14:paraId="5266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5588960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32CE785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2CB83CA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（2）应招未招</w:t>
            </w:r>
          </w:p>
        </w:tc>
        <w:tc>
          <w:tcPr>
            <w:tcW w:w="6448" w:type="dxa"/>
            <w:noWrap w:val="0"/>
            <w:vAlign w:val="center"/>
          </w:tcPr>
          <w:p w14:paraId="6B0B899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查招标资料，对照初步设计，看公开招标采购面，有无应招未招工程。</w:t>
            </w:r>
          </w:p>
        </w:tc>
      </w:tr>
      <w:tr w14:paraId="6367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46CD593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522EEEF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17F2125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（3）标段划分不合理</w:t>
            </w:r>
          </w:p>
        </w:tc>
        <w:tc>
          <w:tcPr>
            <w:tcW w:w="6448" w:type="dxa"/>
            <w:noWrap w:val="0"/>
            <w:vAlign w:val="center"/>
          </w:tcPr>
          <w:p w14:paraId="4415CD3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查招标资料，看有无标段划分过多，单个标段招标金额过小，存在人为拆分等现象。</w:t>
            </w:r>
          </w:p>
        </w:tc>
      </w:tr>
      <w:tr w14:paraId="6C68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4AE90AD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04B1AA1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636F5EB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（4）招标不规范</w:t>
            </w:r>
          </w:p>
        </w:tc>
        <w:tc>
          <w:tcPr>
            <w:tcW w:w="6448" w:type="dxa"/>
            <w:noWrap w:val="0"/>
            <w:vAlign w:val="center"/>
          </w:tcPr>
          <w:p w14:paraId="5D1B44B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查招标资料，看是否实行代理招标；检查招投文件编制、投标单位前审、招标公告发布、招标资料归档等不完善的问题。</w:t>
            </w:r>
          </w:p>
        </w:tc>
      </w:tr>
      <w:tr w14:paraId="561F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7D9EAE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6ACB38C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6AF8D9CE">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（5）评标不规范</w:t>
            </w:r>
          </w:p>
        </w:tc>
        <w:tc>
          <w:tcPr>
            <w:tcW w:w="6448" w:type="dxa"/>
            <w:noWrap w:val="0"/>
            <w:vAlign w:val="center"/>
          </w:tcPr>
          <w:p w14:paraId="1F7F07F2">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查评标资料，看评标人数、评标方法、评标程序、评标报告是否存在不规范。</w:t>
            </w:r>
          </w:p>
        </w:tc>
      </w:tr>
      <w:tr w14:paraId="5E60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6570D4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13DF629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4AD3A69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（6）有虚假招标等现象</w:t>
            </w:r>
          </w:p>
        </w:tc>
        <w:tc>
          <w:tcPr>
            <w:tcW w:w="6448" w:type="dxa"/>
            <w:noWrap w:val="0"/>
            <w:vAlign w:val="center"/>
          </w:tcPr>
          <w:p w14:paraId="4757C91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对照招标书、投标书、评标资料，辨别是否有虚假招标、串标。</w:t>
            </w:r>
          </w:p>
        </w:tc>
      </w:tr>
      <w:tr w14:paraId="287D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87F49E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0D8AD39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2、合同管理</w:t>
            </w:r>
          </w:p>
        </w:tc>
        <w:tc>
          <w:tcPr>
            <w:tcW w:w="1436" w:type="dxa"/>
            <w:noWrap w:val="0"/>
            <w:vAlign w:val="center"/>
          </w:tcPr>
          <w:p w14:paraId="2795440C">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（1）合同不齐全</w:t>
            </w:r>
          </w:p>
        </w:tc>
        <w:tc>
          <w:tcPr>
            <w:tcW w:w="6448" w:type="dxa"/>
            <w:noWrap w:val="0"/>
            <w:vAlign w:val="center"/>
          </w:tcPr>
          <w:p w14:paraId="2A9743C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查档案，对照批复，看合同是否齐全。</w:t>
            </w:r>
          </w:p>
        </w:tc>
      </w:tr>
      <w:tr w14:paraId="33C8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25E0BF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550DDB8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6A9FD34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（2）合同签订不规范</w:t>
            </w:r>
          </w:p>
        </w:tc>
        <w:tc>
          <w:tcPr>
            <w:tcW w:w="6448" w:type="dxa"/>
            <w:noWrap w:val="0"/>
            <w:vAlign w:val="center"/>
          </w:tcPr>
          <w:p w14:paraId="30A941C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查合同，看合同内容是否详细，合同未附工程明细表等。特别违规责任条款不明确、不具体。</w:t>
            </w:r>
          </w:p>
        </w:tc>
      </w:tr>
      <w:tr w14:paraId="046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7DB30F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099DB26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7D05E539">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（3）合同执行不严格</w:t>
            </w:r>
          </w:p>
        </w:tc>
        <w:tc>
          <w:tcPr>
            <w:tcW w:w="6448" w:type="dxa"/>
            <w:noWrap w:val="0"/>
            <w:vAlign w:val="center"/>
          </w:tcPr>
          <w:p w14:paraId="3D93715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查看工程，对照竣工决算书、财务报账资料，看施工是否履行合同，重点是查工期、资金拨付、履约责任等是否按合同执行。</w:t>
            </w:r>
          </w:p>
        </w:tc>
      </w:tr>
      <w:tr w14:paraId="6B9A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9A30D7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2E19C9F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3、施工管理</w:t>
            </w:r>
          </w:p>
        </w:tc>
        <w:tc>
          <w:tcPr>
            <w:tcW w:w="1436" w:type="dxa"/>
            <w:noWrap w:val="0"/>
            <w:vAlign w:val="center"/>
          </w:tcPr>
          <w:p w14:paraId="67754B2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（1）施工资料不齐全</w:t>
            </w:r>
          </w:p>
        </w:tc>
        <w:tc>
          <w:tcPr>
            <w:tcW w:w="6448" w:type="dxa"/>
            <w:noWrap w:val="0"/>
            <w:vAlign w:val="center"/>
          </w:tcPr>
          <w:p w14:paraId="4A35F64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施工资料（含项目开工、中期和完工报告，施工日志，工程质量事故与处理报告，施工技术总结，进度控制报告；施工质量验收和隐蔽工程施工记录，变更设计、图纸、批复等）是否齐全；对照资金支付资料看是否存在分包、转包现象。</w:t>
            </w:r>
          </w:p>
        </w:tc>
      </w:tr>
      <w:tr w14:paraId="23BC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4738A22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496EBB7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3B3100C0">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（2）农业农村部门监管不到位</w:t>
            </w:r>
          </w:p>
        </w:tc>
        <w:tc>
          <w:tcPr>
            <w:tcW w:w="6448" w:type="dxa"/>
            <w:noWrap w:val="0"/>
            <w:vAlign w:val="center"/>
          </w:tcPr>
          <w:p w14:paraId="73E1518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查档案，看农业农村部门现场查验记录是否详细、到位。</w:t>
            </w:r>
          </w:p>
        </w:tc>
      </w:tr>
      <w:tr w14:paraId="1077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0E13E6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6134DCC2">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4、监理工作</w:t>
            </w:r>
          </w:p>
        </w:tc>
        <w:tc>
          <w:tcPr>
            <w:tcW w:w="1436" w:type="dxa"/>
            <w:noWrap w:val="0"/>
            <w:vAlign w:val="center"/>
          </w:tcPr>
          <w:p w14:paraId="7C7B3635">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（1）监理未按要求招标</w:t>
            </w:r>
          </w:p>
        </w:tc>
        <w:tc>
          <w:tcPr>
            <w:tcW w:w="6448" w:type="dxa"/>
            <w:noWrap w:val="0"/>
            <w:vAlign w:val="center"/>
          </w:tcPr>
          <w:p w14:paraId="470B694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查档案，看监理是否招标，由谁招标;监理单位是否具备专业资质，现场监理人员数量和职称等是否符合要求。</w:t>
            </w:r>
          </w:p>
        </w:tc>
      </w:tr>
      <w:tr w14:paraId="5228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5C6437F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68FE47D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797D0C5D">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（2）监理不到位</w:t>
            </w:r>
          </w:p>
        </w:tc>
        <w:tc>
          <w:tcPr>
            <w:tcW w:w="6448" w:type="dxa"/>
            <w:noWrap w:val="0"/>
            <w:vAlign w:val="center"/>
          </w:tcPr>
          <w:p w14:paraId="6E5988A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监理资料，看监理驻点时间是否到位，监理日志是否详实，施工工序及进度有无监管，材料性能、工程取样检测监理有无把关，隐蔽工程建设是否有影像记录、签证，工程变更有无监理认证、说明，有无发现施工问题的记录，发现的问题有无及时制止和纠正，单项工程的完成质量有无认证等。</w:t>
            </w:r>
          </w:p>
        </w:tc>
      </w:tr>
      <w:tr w14:paraId="1E64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0831CE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3335A36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5C5C7A9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（3）监理资料不齐</w:t>
            </w:r>
          </w:p>
        </w:tc>
        <w:tc>
          <w:tcPr>
            <w:tcW w:w="6448" w:type="dxa"/>
            <w:noWrap w:val="0"/>
            <w:vAlign w:val="center"/>
          </w:tcPr>
          <w:p w14:paraId="50456F1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监理资料包括：监理规划、监理合同、监理实施细则、监理日志、质量评定表、材料性能试验报告、工程进度旬或周报、变更建议、变更批复、监理报告、监理总结等资料是否齐全。</w:t>
            </w:r>
          </w:p>
        </w:tc>
      </w:tr>
      <w:tr w14:paraId="0ABA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13BCEB5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2FD3D28E">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5、项目公示</w:t>
            </w:r>
          </w:p>
        </w:tc>
        <w:tc>
          <w:tcPr>
            <w:tcW w:w="1436" w:type="dxa"/>
            <w:noWrap w:val="0"/>
            <w:vAlign w:val="center"/>
          </w:tcPr>
          <w:p w14:paraId="262A235D">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（1）公示制不落实</w:t>
            </w:r>
          </w:p>
        </w:tc>
        <w:tc>
          <w:tcPr>
            <w:tcW w:w="6448" w:type="dxa"/>
            <w:noWrap w:val="0"/>
            <w:vAlign w:val="center"/>
          </w:tcPr>
          <w:p w14:paraId="74B024F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查档案，看是否有项目申报、初设建设内容、验收的公示记录，是否存在公示不具体、不完整、不准确情况，是否公示了群众监督举报电话、联系人、联系单位等。</w:t>
            </w:r>
          </w:p>
        </w:tc>
      </w:tr>
      <w:tr w14:paraId="4A6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3A8DE3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27A69E0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52FA9427">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（2）缺项目标志、标牌、工程编号</w:t>
            </w:r>
          </w:p>
        </w:tc>
        <w:tc>
          <w:tcPr>
            <w:tcW w:w="6448" w:type="dxa"/>
            <w:noWrap w:val="0"/>
            <w:vAlign w:val="center"/>
          </w:tcPr>
          <w:p w14:paraId="6C16869A">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实地检查项目工程标志、标牌、工程编号，项目区公示牌，看公示内容是否完整规范。</w:t>
            </w:r>
          </w:p>
        </w:tc>
      </w:tr>
      <w:tr w14:paraId="2808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58B2B95C">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四、质量管理</w:t>
            </w:r>
          </w:p>
        </w:tc>
        <w:tc>
          <w:tcPr>
            <w:tcW w:w="840" w:type="dxa"/>
            <w:noWrap w:val="0"/>
            <w:vAlign w:val="center"/>
          </w:tcPr>
          <w:p w14:paraId="13194D99">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1、工程数量</w:t>
            </w:r>
          </w:p>
        </w:tc>
        <w:tc>
          <w:tcPr>
            <w:tcW w:w="1436" w:type="dxa"/>
            <w:noWrap w:val="0"/>
            <w:vAlign w:val="center"/>
          </w:tcPr>
          <w:p w14:paraId="7E1296DF">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（1）工程与项目实施计划、初步设计不符</w:t>
            </w:r>
          </w:p>
        </w:tc>
        <w:tc>
          <w:tcPr>
            <w:tcW w:w="6448" w:type="dxa"/>
            <w:noWrap w:val="0"/>
            <w:vAlign w:val="center"/>
          </w:tcPr>
          <w:p w14:paraId="7944AB00">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对照项目实施计划与初步设计批复、规划图、竣工图、竣工表，对照单项工程编号，到实地对项目区和工程进行抽查。具体要对照图表，随机抽查（重点工程全面查、面上工程不低于30%查），逐一核对，清点数量；对机耕路、硬化渠道、桥梁、井等工程，要进行现场测量，看是否存在超标准、超范围安排的工程。</w:t>
            </w:r>
          </w:p>
        </w:tc>
      </w:tr>
      <w:tr w14:paraId="1C40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4720D11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noWrap w:val="0"/>
            <w:vAlign w:val="center"/>
          </w:tcPr>
          <w:p w14:paraId="6D4A9108">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2、工程质量</w:t>
            </w:r>
          </w:p>
        </w:tc>
        <w:tc>
          <w:tcPr>
            <w:tcW w:w="1436" w:type="dxa"/>
            <w:noWrap w:val="0"/>
            <w:vAlign w:val="center"/>
          </w:tcPr>
          <w:p w14:paraId="1FB14F6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（1）工程质量差</w:t>
            </w:r>
          </w:p>
        </w:tc>
        <w:tc>
          <w:tcPr>
            <w:tcW w:w="6448" w:type="dxa"/>
            <w:noWrap w:val="0"/>
            <w:vAlign w:val="center"/>
          </w:tcPr>
          <w:p w14:paraId="59883A7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依据初步设计及设计图纸，一是查看项目工程的外观是否存在断裂、塌陷等明显的质量问题；二是访问镇村干部和群众，有无质量投诉，投诉问题是否解决;三是检查档案，看是否有主要建筑材料的检测报告，是否有工程检测机构出具的各单项建筑工程混凝土或钢筋混凝土强度无损检测（回弹）报告；四是现场检测，必要时可进行开挖、敲击等，看工程规格、强度是否达标;站、井运转是否正常。</w:t>
            </w:r>
          </w:p>
        </w:tc>
      </w:tr>
      <w:tr w14:paraId="294F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6555223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五、资金管理</w:t>
            </w:r>
          </w:p>
        </w:tc>
        <w:tc>
          <w:tcPr>
            <w:tcW w:w="840" w:type="dxa"/>
            <w:vMerge w:val="restart"/>
            <w:noWrap w:val="0"/>
            <w:vAlign w:val="center"/>
          </w:tcPr>
          <w:p w14:paraId="66E7D7D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1、资金投入</w:t>
            </w:r>
          </w:p>
        </w:tc>
        <w:tc>
          <w:tcPr>
            <w:tcW w:w="1436" w:type="dxa"/>
            <w:noWrap w:val="0"/>
            <w:vAlign w:val="center"/>
          </w:tcPr>
          <w:p w14:paraId="7FBDC1FC">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（1）财政资金投入不足</w:t>
            </w:r>
          </w:p>
        </w:tc>
        <w:tc>
          <w:tcPr>
            <w:tcW w:w="6448" w:type="dxa"/>
            <w:noWrap w:val="0"/>
            <w:vAlign w:val="center"/>
          </w:tcPr>
          <w:p w14:paraId="353BFE9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检查市、县级年度预算是否足额安排了高标准农田建设财政资金。关键是检查市、县两级资金是否按国家、省有关规定执行。</w:t>
            </w:r>
          </w:p>
        </w:tc>
      </w:tr>
      <w:tr w14:paraId="21CA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0CD124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68DDB0B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592958F5">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（2）自筹资金投入</w:t>
            </w:r>
          </w:p>
        </w:tc>
        <w:tc>
          <w:tcPr>
            <w:tcW w:w="6448" w:type="dxa"/>
            <w:noWrap w:val="0"/>
            <w:vAlign w:val="center"/>
          </w:tcPr>
          <w:p w14:paraId="129E4AE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自筹资金投入是否严格执行国家和省有关政策规定。要通过检查自筹资金入账的原始凭证等验证其是否真实。</w:t>
            </w:r>
          </w:p>
        </w:tc>
      </w:tr>
      <w:tr w14:paraId="3B12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868B0A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2782C6E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2、资金安排与使用</w:t>
            </w:r>
          </w:p>
        </w:tc>
        <w:tc>
          <w:tcPr>
            <w:tcW w:w="1436" w:type="dxa"/>
            <w:noWrap w:val="0"/>
            <w:vAlign w:val="center"/>
          </w:tcPr>
          <w:p w14:paraId="2B4AA96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（1）资金安排使用不当</w:t>
            </w:r>
          </w:p>
        </w:tc>
        <w:tc>
          <w:tcPr>
            <w:tcW w:w="6448" w:type="dxa"/>
            <w:noWrap w:val="0"/>
            <w:vAlign w:val="center"/>
          </w:tcPr>
          <w:p w14:paraId="79BAA4E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对照高标准农田建设项目资金使用范围和标准，查是否存在超范围、超标准安排使用财政资金；同时查是否存在应安排、应使用而不安排、不使用的情况。</w:t>
            </w:r>
          </w:p>
        </w:tc>
      </w:tr>
      <w:tr w14:paraId="65B9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F956C1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2EB1D2A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1728E3A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（2）挤占挪用资金</w:t>
            </w:r>
          </w:p>
        </w:tc>
        <w:tc>
          <w:tcPr>
            <w:tcW w:w="6448" w:type="dxa"/>
            <w:noWrap w:val="0"/>
            <w:vAlign w:val="center"/>
          </w:tcPr>
          <w:p w14:paraId="1A87AC8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项目资金拨付给与项目实施无关的单位使用；通过比对项目资金实际收款方与项目计划批复、有关合同等。</w:t>
            </w:r>
          </w:p>
        </w:tc>
      </w:tr>
      <w:tr w14:paraId="6AF5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136C8C9D">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60CC1337">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3、资金支付</w:t>
            </w:r>
          </w:p>
        </w:tc>
        <w:tc>
          <w:tcPr>
            <w:tcW w:w="1436" w:type="dxa"/>
            <w:noWrap w:val="0"/>
            <w:vAlign w:val="center"/>
          </w:tcPr>
          <w:p w14:paraId="4D81B7EF">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（1）支付审批手续不合规</w:t>
            </w:r>
          </w:p>
        </w:tc>
        <w:tc>
          <w:tcPr>
            <w:tcW w:w="6448" w:type="dxa"/>
            <w:noWrap w:val="0"/>
            <w:vAlign w:val="center"/>
          </w:tcPr>
          <w:p w14:paraId="6A87A66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主要是检查资金支付中每个环节是否按合同和财务规定审核、审批。</w:t>
            </w:r>
          </w:p>
        </w:tc>
      </w:tr>
      <w:tr w14:paraId="336B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79D93D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44DD92F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2668423C">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（2）支付重要附件不合规</w:t>
            </w:r>
          </w:p>
        </w:tc>
        <w:tc>
          <w:tcPr>
            <w:tcW w:w="6448" w:type="dxa"/>
            <w:noWrap w:val="0"/>
            <w:vAlign w:val="center"/>
          </w:tcPr>
          <w:p w14:paraId="79C81BE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附件是否齐全（税票、资金支付申请表及审批表、工程量清单、验收单、货物分发表、货物领用花名册等）；检查发票是否为正规税务发票，上网核实发票。</w:t>
            </w:r>
          </w:p>
        </w:tc>
      </w:tr>
      <w:tr w14:paraId="7740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92C8B0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31217CD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2574E6E2">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（3）支付不合规</w:t>
            </w:r>
          </w:p>
        </w:tc>
        <w:tc>
          <w:tcPr>
            <w:tcW w:w="6448" w:type="dxa"/>
            <w:noWrap w:val="0"/>
            <w:vAlign w:val="center"/>
          </w:tcPr>
          <w:p w14:paraId="7E6795E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检查项目资金是否拨付个人账户；项目资金是否拨付非中标单位；是否超合同价款拨付项目资金。</w:t>
            </w:r>
          </w:p>
        </w:tc>
      </w:tr>
      <w:tr w14:paraId="457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1112492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4764674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15D33E4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（4）支付进度慢</w:t>
            </w:r>
          </w:p>
        </w:tc>
        <w:tc>
          <w:tcPr>
            <w:tcW w:w="6448" w:type="dxa"/>
            <w:noWrap w:val="0"/>
            <w:vAlign w:val="center"/>
          </w:tcPr>
          <w:p w14:paraId="4485632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是否按政策制度和合同文件等规定支付。</w:t>
            </w:r>
          </w:p>
        </w:tc>
      </w:tr>
      <w:tr w14:paraId="104B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6DD3BD2B">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4CA6687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 xml:space="preserve"> 4、资金政策执行</w:t>
            </w:r>
          </w:p>
        </w:tc>
        <w:tc>
          <w:tcPr>
            <w:tcW w:w="1436" w:type="dxa"/>
            <w:noWrap w:val="0"/>
            <w:vAlign w:val="center"/>
          </w:tcPr>
          <w:p w14:paraId="1F01C2B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（1）执行报账制不彻底</w:t>
            </w:r>
          </w:p>
        </w:tc>
        <w:tc>
          <w:tcPr>
            <w:tcW w:w="6448" w:type="dxa"/>
            <w:noWrap w:val="0"/>
            <w:vAlign w:val="center"/>
          </w:tcPr>
          <w:p w14:paraId="2DFDC57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检查项目资金是否直接拨付项目实施单位。</w:t>
            </w:r>
          </w:p>
        </w:tc>
      </w:tr>
      <w:tr w14:paraId="25B0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4B06A2E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2C1484B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7B8E3769">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（2）“三专”管理不到位</w:t>
            </w:r>
          </w:p>
        </w:tc>
        <w:tc>
          <w:tcPr>
            <w:tcW w:w="6448" w:type="dxa"/>
            <w:noWrap w:val="0"/>
            <w:vAlign w:val="center"/>
          </w:tcPr>
          <w:p w14:paraId="1DA2C97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检查高标准农田建设资金是否专人管理、专账核算、专款专用。</w:t>
            </w:r>
          </w:p>
        </w:tc>
      </w:tr>
      <w:tr w14:paraId="4012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84B1061">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66902D5A">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34C5698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（3）竣工决算审计不及时、流于形式</w:t>
            </w:r>
          </w:p>
        </w:tc>
        <w:tc>
          <w:tcPr>
            <w:tcW w:w="6448" w:type="dxa"/>
            <w:noWrap w:val="0"/>
            <w:vAlign w:val="center"/>
          </w:tcPr>
          <w:p w14:paraId="465F400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检查项目工程是否及时办理决算审计，决算审计机构是否有资质；竣工决算审计价与送审价是否相同或相差很少。</w:t>
            </w:r>
          </w:p>
        </w:tc>
      </w:tr>
      <w:tr w14:paraId="7F12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9452C0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66CF4159">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5、资金政策执行</w:t>
            </w:r>
          </w:p>
        </w:tc>
        <w:tc>
          <w:tcPr>
            <w:tcW w:w="1436" w:type="dxa"/>
            <w:noWrap w:val="0"/>
            <w:vAlign w:val="center"/>
          </w:tcPr>
          <w:p w14:paraId="1A7D623C">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（4）现金支付</w:t>
            </w:r>
          </w:p>
        </w:tc>
        <w:tc>
          <w:tcPr>
            <w:tcW w:w="6448" w:type="dxa"/>
            <w:noWrap w:val="0"/>
            <w:vAlign w:val="center"/>
          </w:tcPr>
          <w:p w14:paraId="49DE0625">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检查是否有现金支付。</w:t>
            </w:r>
          </w:p>
        </w:tc>
      </w:tr>
      <w:tr w14:paraId="6D60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4CECF93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2E63FCE2">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14CCB5C7">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（5）不执行会计电算化</w:t>
            </w:r>
          </w:p>
        </w:tc>
        <w:tc>
          <w:tcPr>
            <w:tcW w:w="6448" w:type="dxa"/>
            <w:noWrap w:val="0"/>
            <w:vAlign w:val="center"/>
          </w:tcPr>
          <w:p w14:paraId="2AE32B1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检查高标准农田建设资金会计核算及凭证，是否为电子账及电子打印凭证</w:t>
            </w:r>
          </w:p>
        </w:tc>
      </w:tr>
      <w:tr w14:paraId="767B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52DB36E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557131E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55801CBF">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（6）内部控制不严格</w:t>
            </w:r>
          </w:p>
        </w:tc>
        <w:tc>
          <w:tcPr>
            <w:tcW w:w="6448" w:type="dxa"/>
            <w:noWrap w:val="0"/>
            <w:vAlign w:val="center"/>
          </w:tcPr>
          <w:p w14:paraId="4B3B735A">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存在出纳、主办一人兼任，检查拨款与记账是否同一人</w:t>
            </w:r>
          </w:p>
        </w:tc>
      </w:tr>
      <w:tr w14:paraId="1945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33F92AEC">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六、验收管理</w:t>
            </w:r>
          </w:p>
        </w:tc>
        <w:tc>
          <w:tcPr>
            <w:tcW w:w="840" w:type="dxa"/>
            <w:noWrap w:val="0"/>
            <w:vAlign w:val="center"/>
          </w:tcPr>
          <w:p w14:paraId="7D81E3A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1、单项验收</w:t>
            </w:r>
          </w:p>
        </w:tc>
        <w:tc>
          <w:tcPr>
            <w:tcW w:w="1436" w:type="dxa"/>
            <w:noWrap w:val="0"/>
            <w:vAlign w:val="center"/>
          </w:tcPr>
          <w:p w14:paraId="42EC513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（1）未进行单项工程验收</w:t>
            </w:r>
          </w:p>
        </w:tc>
        <w:tc>
          <w:tcPr>
            <w:tcW w:w="6448" w:type="dxa"/>
            <w:noWrap w:val="0"/>
            <w:vAlign w:val="center"/>
          </w:tcPr>
          <w:p w14:paraId="4DC901F7">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查档案，看是否有单项工程验收资料。</w:t>
            </w:r>
          </w:p>
        </w:tc>
      </w:tr>
      <w:tr w14:paraId="4B5E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AB45E8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noWrap w:val="0"/>
            <w:vAlign w:val="center"/>
          </w:tcPr>
          <w:p w14:paraId="4A8E4306">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2、工程移交</w:t>
            </w:r>
          </w:p>
        </w:tc>
        <w:tc>
          <w:tcPr>
            <w:tcW w:w="1436" w:type="dxa"/>
            <w:noWrap w:val="0"/>
            <w:vAlign w:val="center"/>
          </w:tcPr>
          <w:p w14:paraId="02A12A5F">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（1）工程未移交或手续不全</w:t>
            </w:r>
          </w:p>
        </w:tc>
        <w:tc>
          <w:tcPr>
            <w:tcW w:w="6448" w:type="dxa"/>
            <w:noWrap w:val="0"/>
            <w:vAlign w:val="center"/>
          </w:tcPr>
          <w:p w14:paraId="05D31B4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查档案，看是否有竣工工程移交资料，工程移交清单、固定资产认定、变动和处置资料等是否齐全。</w:t>
            </w:r>
          </w:p>
        </w:tc>
      </w:tr>
      <w:tr w14:paraId="58C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264FC3C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0444287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3、建后管护</w:t>
            </w:r>
          </w:p>
        </w:tc>
        <w:tc>
          <w:tcPr>
            <w:tcW w:w="1436" w:type="dxa"/>
            <w:noWrap w:val="0"/>
            <w:vAlign w:val="center"/>
          </w:tcPr>
          <w:p w14:paraId="069C3C95">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（1）管护制度不健全、管护责任不落实</w:t>
            </w:r>
          </w:p>
        </w:tc>
        <w:tc>
          <w:tcPr>
            <w:tcW w:w="6448" w:type="dxa"/>
            <w:noWrap w:val="0"/>
            <w:vAlign w:val="center"/>
          </w:tcPr>
          <w:p w14:paraId="522228D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实地察看项目工程，是否有管护牌，管护制度和管护人员是否落实。</w:t>
            </w:r>
          </w:p>
        </w:tc>
      </w:tr>
      <w:tr w14:paraId="4E56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3BC1580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07E356F3">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0081D0F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（2）管护不到位</w:t>
            </w:r>
          </w:p>
        </w:tc>
        <w:tc>
          <w:tcPr>
            <w:tcW w:w="6448" w:type="dxa"/>
            <w:noWrap w:val="0"/>
            <w:vAlign w:val="center"/>
          </w:tcPr>
          <w:p w14:paraId="374B997B">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实地察看项目工程，验收项目区建筑物，如沟渠、道路、树木等是否有损毁等现象。</w:t>
            </w:r>
          </w:p>
        </w:tc>
      </w:tr>
      <w:tr w14:paraId="360F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159C5350">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restart"/>
            <w:noWrap w:val="0"/>
            <w:vAlign w:val="center"/>
          </w:tcPr>
          <w:p w14:paraId="718DCF05">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4、县级验收</w:t>
            </w:r>
          </w:p>
        </w:tc>
        <w:tc>
          <w:tcPr>
            <w:tcW w:w="1436" w:type="dxa"/>
            <w:noWrap w:val="0"/>
            <w:vAlign w:val="center"/>
          </w:tcPr>
          <w:p w14:paraId="73956980">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（1）县级验收准备不充分</w:t>
            </w:r>
          </w:p>
        </w:tc>
        <w:tc>
          <w:tcPr>
            <w:tcW w:w="6448" w:type="dxa"/>
            <w:noWrap w:val="0"/>
            <w:vAlign w:val="center"/>
          </w:tcPr>
          <w:p w14:paraId="74EF9A8A">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查档案，看有无县级对单项工程竣工的验收资料，是否存在验收资料不齐全情况（验收报告、资金管理报告、竣工图、单项工程竣工表、验收统计表等）。</w:t>
            </w:r>
          </w:p>
        </w:tc>
      </w:tr>
      <w:tr w14:paraId="259B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02728A8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5A67B4CC">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4669D9C1">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（2）检查验收整改不到位</w:t>
            </w:r>
          </w:p>
        </w:tc>
        <w:tc>
          <w:tcPr>
            <w:tcW w:w="6448" w:type="dxa"/>
            <w:noWrap w:val="0"/>
            <w:vAlign w:val="center"/>
          </w:tcPr>
          <w:p w14:paraId="33D06266">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查项目工程及档案，对照上级历次检查意见、报告，看整改是否到位。</w:t>
            </w:r>
          </w:p>
        </w:tc>
      </w:tr>
      <w:tr w14:paraId="3CE4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7978307E">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noWrap w:val="0"/>
            <w:vAlign w:val="center"/>
          </w:tcPr>
          <w:p w14:paraId="2D8E9E90">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5、监督审计</w:t>
            </w:r>
          </w:p>
        </w:tc>
        <w:tc>
          <w:tcPr>
            <w:tcW w:w="1436" w:type="dxa"/>
            <w:noWrap w:val="0"/>
            <w:vAlign w:val="center"/>
          </w:tcPr>
          <w:p w14:paraId="02EDF213">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（1）监督审计问题整改不到位</w:t>
            </w:r>
          </w:p>
        </w:tc>
        <w:tc>
          <w:tcPr>
            <w:tcW w:w="6448" w:type="dxa"/>
            <w:noWrap w:val="0"/>
            <w:vAlign w:val="center"/>
          </w:tcPr>
          <w:p w14:paraId="2910DE08">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查项目工程及档案，对照审计报告，看审计监督整改问题是否到位。</w:t>
            </w:r>
          </w:p>
        </w:tc>
      </w:tr>
      <w:tr w14:paraId="584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restart"/>
            <w:noWrap w:val="0"/>
            <w:vAlign w:val="center"/>
          </w:tcPr>
          <w:p w14:paraId="4DC09FC7">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七、档案管理</w:t>
            </w:r>
          </w:p>
        </w:tc>
        <w:tc>
          <w:tcPr>
            <w:tcW w:w="840" w:type="dxa"/>
            <w:vMerge w:val="restart"/>
            <w:noWrap w:val="0"/>
            <w:vAlign w:val="center"/>
          </w:tcPr>
          <w:p w14:paraId="2E86BBD4">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1、档案管理</w:t>
            </w:r>
          </w:p>
        </w:tc>
        <w:tc>
          <w:tcPr>
            <w:tcW w:w="1436" w:type="dxa"/>
            <w:noWrap w:val="0"/>
            <w:vAlign w:val="center"/>
          </w:tcPr>
          <w:p w14:paraId="56CD0660">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（1）归类不合规</w:t>
            </w:r>
          </w:p>
        </w:tc>
        <w:tc>
          <w:tcPr>
            <w:tcW w:w="6448" w:type="dxa"/>
            <w:noWrap w:val="0"/>
            <w:vAlign w:val="center"/>
          </w:tcPr>
          <w:p w14:paraId="033C02B4">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查档案，看档案是否按上级文件规定归类整理目录、编号、装订、装盒、入库。</w:t>
            </w:r>
          </w:p>
        </w:tc>
      </w:tr>
      <w:tr w14:paraId="41DF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8" w:type="dxa"/>
            <w:vMerge w:val="continue"/>
            <w:noWrap w:val="0"/>
            <w:vAlign w:val="center"/>
          </w:tcPr>
          <w:p w14:paraId="1E89E5E0">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840" w:type="dxa"/>
            <w:vMerge w:val="continue"/>
            <w:noWrap w:val="0"/>
            <w:vAlign w:val="center"/>
          </w:tcPr>
          <w:p w14:paraId="50FD907F">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p>
        </w:tc>
        <w:tc>
          <w:tcPr>
            <w:tcW w:w="1436" w:type="dxa"/>
            <w:noWrap w:val="0"/>
            <w:vAlign w:val="center"/>
          </w:tcPr>
          <w:p w14:paraId="338DDBEA">
            <w:pPr>
              <w:widowControl/>
              <w:jc w:val="center"/>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（2）整理不齐全</w:t>
            </w:r>
          </w:p>
        </w:tc>
        <w:tc>
          <w:tcPr>
            <w:tcW w:w="6448" w:type="dxa"/>
            <w:noWrap w:val="0"/>
            <w:vAlign w:val="center"/>
          </w:tcPr>
          <w:p w14:paraId="5C8DFC99">
            <w:pPr>
              <w:widowControl/>
              <w:jc w:val="left"/>
              <w:rPr>
                <w:rFonts w:ascii="仿宋_GB2312" w:hAnsi="宋体" w:eastAsia="仿宋_GB2312" w:cs="宋体"/>
                <w:color w:val="000000" w:themeColor="text1"/>
                <w:kern w:val="0"/>
                <w:sz w:val="22"/>
                <w:szCs w:val="22"/>
                <w:highlight w:val="none"/>
                <w14:textFill>
                  <w14:solidFill>
                    <w14:schemeClr w14:val="tx1"/>
                  </w14:solidFill>
                </w14:textFill>
              </w:rPr>
            </w:pPr>
            <w:r>
              <w:rPr>
                <w:rFonts w:hint="eastAsia" w:ascii="仿宋_GB2312" w:hAnsi="宋体" w:eastAsia="仿宋_GB2312" w:cs="宋体"/>
                <w:color w:val="000000" w:themeColor="text1"/>
                <w:kern w:val="0"/>
                <w:sz w:val="22"/>
                <w:szCs w:val="22"/>
                <w:highlight w:val="none"/>
                <w14:textFill>
                  <w14:solidFill>
                    <w14:schemeClr w14:val="tx1"/>
                  </w14:solidFill>
                </w14:textFill>
              </w:rPr>
              <w:t>查档案，看档案是否齐全，有无漏项、缺项。</w:t>
            </w:r>
          </w:p>
        </w:tc>
      </w:tr>
    </w:tbl>
    <w:p w14:paraId="22C36E7F">
      <w:pPr>
        <w:rPr>
          <w:rFonts w:hint="eastAsia"/>
          <w:color w:val="000000" w:themeColor="text1"/>
          <w:highlight w:val="none"/>
          <w:lang w:val="en-US" w:eastAsia="zh-CN"/>
          <w14:textFill>
            <w14:solidFill>
              <w14:schemeClr w14:val="tx1"/>
            </w14:solidFill>
          </w14:textFill>
        </w:rPr>
      </w:pPr>
    </w:p>
    <w:p w14:paraId="47BD5CE6">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9CF72B5">
      <w:pPr>
        <w:pStyle w:val="2"/>
        <w:bidi w:val="0"/>
        <w:rPr>
          <w:rFonts w:hint="eastAsia"/>
          <w:color w:val="000000" w:themeColor="text1"/>
          <w:highlight w:val="none"/>
          <w14:textFill>
            <w14:solidFill>
              <w14:schemeClr w14:val="tx1"/>
            </w14:solidFill>
          </w14:textFill>
        </w:rPr>
      </w:pPr>
      <w:bookmarkStart w:id="506" w:name="_Toc32089"/>
      <w:r>
        <w:rPr>
          <w:rFonts w:hint="eastAsia"/>
          <w:color w:val="000000" w:themeColor="text1"/>
          <w:highlight w:val="none"/>
          <w14:textFill>
            <w14:solidFill>
              <w14:schemeClr w14:val="tx1"/>
            </w14:solidFill>
          </w14:textFill>
        </w:rPr>
        <w:t>第五章</w:t>
      </w:r>
      <w:bookmarkStart w:id="507" w:name="_bookmark5"/>
      <w:bookmarkEnd w:id="507"/>
      <w:bookmarkStart w:id="508" w:name="第六章_采购合同"/>
      <w:bookmarkEnd w:id="508"/>
      <w:bookmarkStart w:id="509" w:name="_Toc32219"/>
      <w:bookmarkEnd w:id="509"/>
      <w:r>
        <w:rPr>
          <w:rFonts w:hint="eastAsia"/>
          <w:color w:val="000000" w:themeColor="text1"/>
          <w:highlight w:val="none"/>
          <w14:textFill>
            <w14:solidFill>
              <w14:schemeClr w14:val="tx1"/>
            </w14:solidFill>
          </w14:textFill>
        </w:rPr>
        <w:t xml:space="preserve"> 评审方法和标准</w:t>
      </w:r>
      <w:bookmarkEnd w:id="505"/>
      <w:bookmarkEnd w:id="506"/>
    </w:p>
    <w:p w14:paraId="315D4688">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一、评</w:t>
      </w:r>
      <w:bookmarkStart w:id="510" w:name="_Toc12747"/>
      <w:bookmarkEnd w:id="510"/>
      <w:bookmarkStart w:id="511" w:name="_Toc18525"/>
      <w:bookmarkEnd w:id="511"/>
      <w:bookmarkStart w:id="512" w:name="一、综合评分法"/>
      <w:bookmarkEnd w:id="512"/>
      <w:bookmarkStart w:id="513" w:name="_Toc25584"/>
      <w:bookmarkEnd w:id="513"/>
      <w:bookmarkStart w:id="514" w:name="_Toc7795"/>
      <w:bookmarkEnd w:id="514"/>
      <w:bookmarkStart w:id="515" w:name="_Toc29916"/>
      <w:bookmarkEnd w:id="515"/>
      <w:bookmarkStart w:id="516" w:name="_Toc20047"/>
      <w:bookmarkEnd w:id="516"/>
      <w:bookmarkStart w:id="517" w:name="_Toc19002"/>
      <w:bookmarkEnd w:id="517"/>
      <w:bookmarkStart w:id="518" w:name="_Toc15111"/>
      <w:bookmarkEnd w:id="518"/>
      <w:bookmarkStart w:id="519" w:name="_Toc24785"/>
      <w:bookmarkEnd w:id="519"/>
      <w:bookmarkStart w:id="520" w:name="_Toc30333"/>
      <w:bookmarkStart w:id="521" w:name="_Toc31525"/>
      <w:bookmarkStart w:id="522" w:name="_Toc25485"/>
      <w:bookmarkStart w:id="523" w:name="_Toc16256"/>
      <w:r>
        <w:rPr>
          <w:rFonts w:hint="eastAsia"/>
          <w:color w:val="000000" w:themeColor="text1"/>
          <w:highlight w:val="none"/>
          <w:lang w:eastAsia="zh-CN"/>
          <w14:textFill>
            <w14:solidFill>
              <w14:schemeClr w14:val="tx1"/>
            </w14:solidFill>
          </w14:textFill>
        </w:rPr>
        <w:t>审方法</w:t>
      </w:r>
    </w:p>
    <w:p w14:paraId="7B934AE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价格为主要因素确定成交候选供应商，即在全部满足谈判文件实质性要求（包含资格条件、采购内容、合同履行期以及谈判过程中对以上内容的补充和修改等）前提下，根据各家最终承诺报价由低到高排出成交候选供应商。</w:t>
      </w:r>
    </w:p>
    <w:p w14:paraId="5ADA951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评审主要考虑：①报价是否响应本谈判文件的实质性要求；②是否有重大缺项漏项或错项。</w:t>
      </w:r>
    </w:p>
    <w:p w14:paraId="46D67E96">
      <w:pPr>
        <w:pStyle w:val="5"/>
        <w:bidi w:val="0"/>
        <w:rPr>
          <w:rFonts w:hint="eastAsia"/>
          <w:color w:val="000000" w:themeColor="text1"/>
          <w:highlight w:val="none"/>
          <w:lang w:val="en"/>
          <w14:textFill>
            <w14:solidFill>
              <w14:schemeClr w14:val="tx1"/>
            </w14:solidFill>
          </w14:textFill>
        </w:rPr>
      </w:pPr>
      <w:r>
        <w:rPr>
          <w:rFonts w:hint="eastAsia"/>
          <w:color w:val="000000" w:themeColor="text1"/>
          <w:highlight w:val="none"/>
          <w14:textFill>
            <w14:solidFill>
              <w14:schemeClr w14:val="tx1"/>
            </w14:solidFill>
          </w14:textFill>
        </w:rPr>
        <w:t>谈判过程中，</w:t>
      </w:r>
      <w:r>
        <w:rPr>
          <w:rFonts w:hint="eastAsia"/>
          <w:color w:val="000000" w:themeColor="text1"/>
          <w:highlight w:val="none"/>
          <w:lang w:val="en"/>
          <w14:textFill>
            <w14:solidFill>
              <w14:schemeClr w14:val="tx1"/>
            </w14:solidFill>
          </w14:textFill>
        </w:rPr>
        <w:t>谈判小组认为投标人的报价明显低于其他通过符合性审查投标人的报价，有可能影响</w:t>
      </w:r>
      <w:r>
        <w:rPr>
          <w:rFonts w:hint="eastAsia"/>
          <w:color w:val="000000" w:themeColor="text1"/>
          <w:highlight w:val="none"/>
          <w:lang w:val="en" w:eastAsia="zh-CN"/>
          <w14:textFill>
            <w14:solidFill>
              <w14:schemeClr w14:val="tx1"/>
            </w14:solidFill>
          </w14:textFill>
        </w:rPr>
        <w:t>服务</w:t>
      </w:r>
      <w:r>
        <w:rPr>
          <w:rFonts w:hint="eastAsia"/>
          <w:color w:val="000000" w:themeColor="text1"/>
          <w:highlight w:val="none"/>
          <w:lang w:val="en"/>
          <w14:textFill>
            <w14:solidFill>
              <w14:schemeClr w14:val="tx1"/>
            </w14:solidFill>
          </w14:textFill>
        </w:rPr>
        <w:t>质量或者不能诚信履约的，</w:t>
      </w:r>
      <w:r>
        <w:rPr>
          <w:rFonts w:hint="eastAsia"/>
          <w:color w:val="000000" w:themeColor="text1"/>
          <w:highlight w:val="none"/>
          <w14:textFill>
            <w14:solidFill>
              <w14:schemeClr w14:val="tx1"/>
            </w14:solidFill>
          </w14:textFill>
        </w:rPr>
        <w:t>应当要求其在规定时间（30分钟）内提供书面说明</w:t>
      </w:r>
      <w:r>
        <w:rPr>
          <w:rFonts w:hint="eastAsia"/>
          <w:color w:val="000000" w:themeColor="text1"/>
          <w:highlight w:val="none"/>
          <w:lang w:val="en"/>
          <w14:textFill>
            <w14:solidFill>
              <w14:schemeClr w14:val="tx1"/>
            </w14:solidFill>
          </w14:textFill>
        </w:rPr>
        <w:t>，必要时提交相关证明材料；投标供应商不能证明其报价合理性的，谈判小组应当将其作为无效投标处理。</w:t>
      </w:r>
    </w:p>
    <w:p w14:paraId="3960B067">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二、谈判小组的工作内容</w:t>
      </w:r>
    </w:p>
    <w:p w14:paraId="40774BA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项目实行线下开评标，现场递交密封的响应文件，初步评审通过的供应商在（规定时间30分钟）现场进行二次或多轮报价，如未二轮报价或多轮报价，则以首轮报价为准，无特殊情况二次报价视为最终报价。如因供应商原因未及时报价，供应商自行承担一切后果。</w:t>
      </w:r>
    </w:p>
    <w:p w14:paraId="67E29AF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除成交人的成交价进行公示以外，各谈判供应商的技术资料、价格、评分明细（排名）、总得分和其他信息均予以保密。在谈判内容不作实质性变更及重大调整的前提下，谈判供应商最终报价不得高于控制价，成交供应商的最终报价作为签订合同的依据。</w:t>
      </w:r>
    </w:p>
    <w:p w14:paraId="7EA9BC28">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三、评审标准</w:t>
      </w:r>
    </w:p>
    <w:p w14:paraId="3080920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对所有谈判供应商的评审，都采用相同的程序和标准。评审过程将严格按照谈判文件的要求和条件进行。</w:t>
      </w:r>
    </w:p>
    <w:p w14:paraId="5DD5D64E">
      <w:pPr>
        <w:pStyle w:val="12"/>
        <w:bidi w:val="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初步评审（资格、符合性评审）</w:t>
      </w:r>
    </w:p>
    <w:tbl>
      <w:tblPr>
        <w:tblStyle w:val="25"/>
        <w:tblW w:w="0" w:type="auto"/>
        <w:jc w:val="center"/>
        <w:tblLayout w:type="fixed"/>
        <w:tblCellMar>
          <w:top w:w="0" w:type="dxa"/>
          <w:left w:w="0" w:type="dxa"/>
          <w:bottom w:w="0" w:type="dxa"/>
          <w:right w:w="0" w:type="dxa"/>
        </w:tblCellMar>
      </w:tblPr>
      <w:tblGrid>
        <w:gridCol w:w="594"/>
        <w:gridCol w:w="3076"/>
        <w:gridCol w:w="4210"/>
        <w:gridCol w:w="1425"/>
      </w:tblGrid>
      <w:tr w14:paraId="5FC36D65">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2C9C9D1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076" w:type="dxa"/>
            <w:tcBorders>
              <w:top w:val="single" w:color="000000" w:sz="4" w:space="0"/>
              <w:left w:val="nil"/>
              <w:bottom w:val="single" w:color="000000" w:sz="4" w:space="0"/>
              <w:right w:val="single" w:color="000000" w:sz="4" w:space="0"/>
            </w:tcBorders>
            <w:vAlign w:val="center"/>
          </w:tcPr>
          <w:p w14:paraId="74DD6A97">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指标名称</w:t>
            </w:r>
          </w:p>
        </w:tc>
        <w:tc>
          <w:tcPr>
            <w:tcW w:w="4210" w:type="dxa"/>
            <w:tcBorders>
              <w:top w:val="single" w:color="000000" w:sz="4" w:space="0"/>
              <w:left w:val="nil"/>
              <w:bottom w:val="single" w:color="000000" w:sz="4" w:space="0"/>
              <w:right w:val="single" w:color="000000" w:sz="4" w:space="0"/>
            </w:tcBorders>
            <w:vAlign w:val="center"/>
          </w:tcPr>
          <w:p w14:paraId="5503416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指标要求</w:t>
            </w:r>
          </w:p>
        </w:tc>
        <w:tc>
          <w:tcPr>
            <w:tcW w:w="1425" w:type="dxa"/>
            <w:tcBorders>
              <w:top w:val="single" w:color="000000" w:sz="4" w:space="0"/>
              <w:left w:val="nil"/>
              <w:bottom w:val="single" w:color="000000" w:sz="4" w:space="0"/>
              <w:right w:val="single" w:color="000000" w:sz="4" w:space="0"/>
            </w:tcBorders>
            <w:vAlign w:val="center"/>
          </w:tcPr>
          <w:p w14:paraId="1CB4C18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是否通过</w:t>
            </w:r>
          </w:p>
        </w:tc>
      </w:tr>
      <w:tr w14:paraId="129210FD">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7DFE7C0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3076" w:type="dxa"/>
            <w:tcBorders>
              <w:top w:val="single" w:color="000000" w:sz="4" w:space="0"/>
              <w:left w:val="nil"/>
              <w:bottom w:val="single" w:color="000000" w:sz="4" w:space="0"/>
              <w:right w:val="single" w:color="000000" w:sz="4" w:space="0"/>
            </w:tcBorders>
            <w:vAlign w:val="center"/>
          </w:tcPr>
          <w:p w14:paraId="54D2B844">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谈判</w:t>
            </w:r>
            <w:r>
              <w:rPr>
                <w:color w:val="000000" w:themeColor="text1"/>
                <w:highlight w:val="none"/>
                <w14:textFill>
                  <w14:solidFill>
                    <w14:schemeClr w14:val="tx1"/>
                  </w14:solidFill>
                </w14:textFill>
              </w:rPr>
              <w:t>响应文件签字盖章</w:t>
            </w:r>
          </w:p>
        </w:tc>
        <w:tc>
          <w:tcPr>
            <w:tcW w:w="4210" w:type="dxa"/>
            <w:tcBorders>
              <w:top w:val="single" w:color="000000" w:sz="4" w:space="0"/>
              <w:left w:val="nil"/>
              <w:bottom w:val="single" w:color="000000" w:sz="4" w:space="0"/>
              <w:right w:val="single" w:color="000000" w:sz="4" w:space="0"/>
            </w:tcBorders>
            <w:vAlign w:val="center"/>
          </w:tcPr>
          <w:p w14:paraId="221448CF">
            <w:pPr>
              <w:keepNext w:val="0"/>
              <w:keepLines w:val="0"/>
              <w:pageBreakBefore w:val="0"/>
              <w:widowControl w:val="0"/>
              <w:kinsoku/>
              <w:wordWrap w:val="0"/>
              <w:overflowPunct/>
              <w:topLinePunct/>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w:t>
            </w:r>
            <w:r>
              <w:rPr>
                <w:rFonts w:hint="eastAsia"/>
                <w:color w:val="000000" w:themeColor="text1"/>
                <w:highlight w:val="none"/>
                <w:lang w:eastAsia="zh-CN"/>
                <w14:textFill>
                  <w14:solidFill>
                    <w14:schemeClr w14:val="tx1"/>
                  </w14:solidFill>
                </w14:textFill>
              </w:rPr>
              <w:t>谈判</w:t>
            </w:r>
            <w:r>
              <w:rPr>
                <w:color w:val="000000" w:themeColor="text1"/>
                <w:highlight w:val="none"/>
                <w14:textFill>
                  <w14:solidFill>
                    <w14:schemeClr w14:val="tx1"/>
                  </w14:solidFill>
                </w14:textFill>
              </w:rPr>
              <w:t>文件签字或盖章要求</w:t>
            </w:r>
          </w:p>
        </w:tc>
        <w:tc>
          <w:tcPr>
            <w:tcW w:w="1425" w:type="dxa"/>
            <w:tcBorders>
              <w:top w:val="single" w:color="000000" w:sz="4" w:space="0"/>
              <w:left w:val="nil"/>
              <w:bottom w:val="single" w:color="000000" w:sz="4" w:space="0"/>
              <w:right w:val="single" w:color="000000" w:sz="4" w:space="0"/>
            </w:tcBorders>
            <w:vAlign w:val="center"/>
          </w:tcPr>
          <w:p w14:paraId="7A2374CC">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p>
        </w:tc>
      </w:tr>
      <w:tr w14:paraId="7388929A">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02301AA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076" w:type="dxa"/>
            <w:tcBorders>
              <w:top w:val="single" w:color="000000" w:sz="4" w:space="0"/>
              <w:left w:val="nil"/>
              <w:bottom w:val="single" w:color="000000" w:sz="4" w:space="0"/>
              <w:right w:val="single" w:color="000000" w:sz="4" w:space="0"/>
            </w:tcBorders>
            <w:vAlign w:val="center"/>
          </w:tcPr>
          <w:p w14:paraId="5DA17A25">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谈判响应文件内容</w:t>
            </w:r>
          </w:p>
        </w:tc>
        <w:tc>
          <w:tcPr>
            <w:tcW w:w="4210" w:type="dxa"/>
            <w:tcBorders>
              <w:top w:val="single" w:color="000000" w:sz="4" w:space="0"/>
              <w:left w:val="nil"/>
              <w:bottom w:val="single" w:color="000000" w:sz="4" w:space="0"/>
              <w:right w:val="single" w:color="000000" w:sz="4" w:space="0"/>
            </w:tcBorders>
            <w:vAlign w:val="center"/>
          </w:tcPr>
          <w:p w14:paraId="4B0023BF">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符合谈判文件要求</w:t>
            </w:r>
          </w:p>
        </w:tc>
        <w:tc>
          <w:tcPr>
            <w:tcW w:w="1425" w:type="dxa"/>
            <w:tcBorders>
              <w:top w:val="single" w:color="000000" w:sz="4" w:space="0"/>
              <w:left w:val="nil"/>
              <w:bottom w:val="single" w:color="000000" w:sz="4" w:space="0"/>
              <w:right w:val="single" w:color="000000" w:sz="4" w:space="0"/>
            </w:tcBorders>
            <w:vAlign w:val="center"/>
          </w:tcPr>
          <w:p w14:paraId="03FE79C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p>
        </w:tc>
      </w:tr>
      <w:tr w14:paraId="44064DBB">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64AEA40E">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076" w:type="dxa"/>
            <w:tcBorders>
              <w:top w:val="single" w:color="000000" w:sz="4" w:space="0"/>
              <w:left w:val="nil"/>
              <w:bottom w:val="single" w:color="000000" w:sz="4" w:space="0"/>
              <w:right w:val="single" w:color="000000" w:sz="4" w:space="0"/>
            </w:tcBorders>
            <w:vAlign w:val="center"/>
          </w:tcPr>
          <w:p w14:paraId="44664AE5">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p>
        </w:tc>
        <w:tc>
          <w:tcPr>
            <w:tcW w:w="4210" w:type="dxa"/>
            <w:tcBorders>
              <w:top w:val="single" w:color="000000" w:sz="4" w:space="0"/>
              <w:left w:val="nil"/>
              <w:bottom w:val="single" w:color="000000" w:sz="4" w:space="0"/>
              <w:right w:val="single" w:color="000000" w:sz="4" w:space="0"/>
            </w:tcBorders>
            <w:vAlign w:val="center"/>
          </w:tcPr>
          <w:p w14:paraId="6470B067">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不得超出预算价</w:t>
            </w:r>
          </w:p>
        </w:tc>
        <w:tc>
          <w:tcPr>
            <w:tcW w:w="1425" w:type="dxa"/>
            <w:tcBorders>
              <w:top w:val="single" w:color="000000" w:sz="4" w:space="0"/>
              <w:left w:val="nil"/>
              <w:bottom w:val="single" w:color="000000" w:sz="4" w:space="0"/>
              <w:right w:val="single" w:color="000000" w:sz="4" w:space="0"/>
            </w:tcBorders>
            <w:vAlign w:val="center"/>
          </w:tcPr>
          <w:p w14:paraId="4E05C950">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p>
        </w:tc>
      </w:tr>
      <w:tr w14:paraId="4EA00A79">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174D4B7E">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3076" w:type="dxa"/>
            <w:tcBorders>
              <w:top w:val="single" w:color="000000" w:sz="4" w:space="0"/>
              <w:left w:val="nil"/>
              <w:bottom w:val="single" w:color="000000" w:sz="4" w:space="0"/>
              <w:right w:val="single" w:color="000000" w:sz="4" w:space="0"/>
            </w:tcBorders>
            <w:vAlign w:val="center"/>
          </w:tcPr>
          <w:p w14:paraId="041F010E">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供应商资格</w:t>
            </w:r>
          </w:p>
        </w:tc>
        <w:tc>
          <w:tcPr>
            <w:tcW w:w="4210" w:type="dxa"/>
            <w:tcBorders>
              <w:top w:val="single" w:color="000000" w:sz="4" w:space="0"/>
              <w:left w:val="nil"/>
              <w:bottom w:val="single" w:color="000000" w:sz="4" w:space="0"/>
              <w:right w:val="single" w:color="000000" w:sz="4" w:space="0"/>
            </w:tcBorders>
            <w:vAlign w:val="center"/>
          </w:tcPr>
          <w:p w14:paraId="73E59926">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符合谈判公告要求</w:t>
            </w:r>
          </w:p>
        </w:tc>
        <w:tc>
          <w:tcPr>
            <w:tcW w:w="1425" w:type="dxa"/>
            <w:tcBorders>
              <w:top w:val="single" w:color="000000" w:sz="4" w:space="0"/>
              <w:left w:val="nil"/>
              <w:bottom w:val="single" w:color="000000" w:sz="4" w:space="0"/>
              <w:right w:val="single" w:color="000000" w:sz="4" w:space="0"/>
            </w:tcBorders>
            <w:vAlign w:val="center"/>
          </w:tcPr>
          <w:p w14:paraId="7ABBDBA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p>
        </w:tc>
      </w:tr>
      <w:tr w14:paraId="06611F09">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537F4F3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076" w:type="dxa"/>
            <w:tcBorders>
              <w:top w:val="single" w:color="000000" w:sz="4" w:space="0"/>
              <w:left w:val="nil"/>
              <w:bottom w:val="single" w:color="000000" w:sz="4" w:space="0"/>
              <w:right w:val="single" w:color="000000" w:sz="4" w:space="0"/>
            </w:tcBorders>
            <w:vAlign w:val="center"/>
          </w:tcPr>
          <w:p w14:paraId="139B3E93">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合同履行期限</w:t>
            </w:r>
          </w:p>
        </w:tc>
        <w:tc>
          <w:tcPr>
            <w:tcW w:w="4210" w:type="dxa"/>
            <w:tcBorders>
              <w:top w:val="single" w:color="000000" w:sz="4" w:space="0"/>
              <w:left w:val="nil"/>
              <w:bottom w:val="single" w:color="000000" w:sz="4" w:space="0"/>
              <w:right w:val="single" w:color="000000" w:sz="4" w:space="0"/>
            </w:tcBorders>
            <w:vAlign w:val="center"/>
          </w:tcPr>
          <w:p w14:paraId="49C89054">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9月底前全面完成市级验收</w:t>
            </w:r>
          </w:p>
        </w:tc>
        <w:tc>
          <w:tcPr>
            <w:tcW w:w="1425" w:type="dxa"/>
            <w:tcBorders>
              <w:top w:val="single" w:color="000000" w:sz="4" w:space="0"/>
              <w:left w:val="nil"/>
              <w:bottom w:val="single" w:color="000000" w:sz="4" w:space="0"/>
              <w:right w:val="single" w:color="000000" w:sz="4" w:space="0"/>
            </w:tcBorders>
            <w:vAlign w:val="center"/>
          </w:tcPr>
          <w:p w14:paraId="7901C39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p>
        </w:tc>
      </w:tr>
      <w:tr w14:paraId="4810D2A8">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vAlign w:val="center"/>
          </w:tcPr>
          <w:p w14:paraId="48F73EA6">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3076" w:type="dxa"/>
            <w:tcBorders>
              <w:top w:val="single" w:color="000000" w:sz="4" w:space="0"/>
              <w:left w:val="nil"/>
              <w:bottom w:val="single" w:color="000000" w:sz="4" w:space="0"/>
              <w:right w:val="single" w:color="000000" w:sz="4" w:space="0"/>
            </w:tcBorders>
            <w:vAlign w:val="center"/>
          </w:tcPr>
          <w:p w14:paraId="11C6191E">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投标有效期</w:t>
            </w:r>
          </w:p>
        </w:tc>
        <w:tc>
          <w:tcPr>
            <w:tcW w:w="4210" w:type="dxa"/>
            <w:tcBorders>
              <w:top w:val="single" w:color="000000" w:sz="4" w:space="0"/>
              <w:left w:val="nil"/>
              <w:bottom w:val="single" w:color="000000" w:sz="4" w:space="0"/>
              <w:right w:val="single" w:color="000000" w:sz="4" w:space="0"/>
            </w:tcBorders>
            <w:vAlign w:val="center"/>
          </w:tcPr>
          <w:p w14:paraId="006886D7">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90</w:t>
            </w:r>
            <w:r>
              <w:rPr>
                <w:rFonts w:hint="eastAsia"/>
                <w:color w:val="000000" w:themeColor="text1"/>
                <w:highlight w:val="none"/>
                <w14:textFill>
                  <w14:solidFill>
                    <w14:schemeClr w14:val="tx1"/>
                  </w14:solidFill>
                </w14:textFill>
              </w:rPr>
              <w:t>日</w:t>
            </w:r>
          </w:p>
        </w:tc>
        <w:tc>
          <w:tcPr>
            <w:tcW w:w="1425" w:type="dxa"/>
            <w:tcBorders>
              <w:top w:val="single" w:color="000000" w:sz="4" w:space="0"/>
              <w:left w:val="nil"/>
              <w:bottom w:val="single" w:color="000000" w:sz="4" w:space="0"/>
              <w:right w:val="single" w:color="000000" w:sz="4" w:space="0"/>
            </w:tcBorders>
            <w:vAlign w:val="center"/>
          </w:tcPr>
          <w:p w14:paraId="4BEF37B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14:textFill>
                  <w14:solidFill>
                    <w14:schemeClr w14:val="tx1"/>
                  </w14:solidFill>
                </w14:textFill>
              </w:rPr>
            </w:pPr>
          </w:p>
        </w:tc>
      </w:tr>
      <w:tr w14:paraId="6600F7D0">
        <w:tblPrEx>
          <w:tblCellMar>
            <w:top w:w="0" w:type="dxa"/>
            <w:left w:w="0" w:type="dxa"/>
            <w:bottom w:w="0" w:type="dxa"/>
            <w:right w:w="0" w:type="dxa"/>
          </w:tblCellMar>
        </w:tblPrEx>
        <w:trPr>
          <w:trHeight w:val="0"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CCE">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14:textFill>
                  <w14:solidFill>
                    <w14:schemeClr w14:val="tx1"/>
                  </w14:solidFill>
                </w14:textFill>
              </w:rPr>
              <w:t>7</w:t>
            </w:r>
          </w:p>
        </w:tc>
        <w:tc>
          <w:tcPr>
            <w:tcW w:w="3076" w:type="dxa"/>
            <w:tcBorders>
              <w:top w:val="single" w:color="000000" w:sz="4" w:space="0"/>
              <w:left w:val="nil"/>
              <w:bottom w:val="single" w:color="000000" w:sz="4" w:space="0"/>
              <w:right w:val="single" w:color="000000" w:sz="4" w:space="0"/>
            </w:tcBorders>
            <w:shd w:val="clear" w:color="auto" w:fill="auto"/>
            <w:vAlign w:val="center"/>
          </w:tcPr>
          <w:p w14:paraId="41CABD3B">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14:textFill>
                  <w14:solidFill>
                    <w14:schemeClr w14:val="tx1"/>
                  </w14:solidFill>
                </w14:textFill>
              </w:rPr>
              <w:t>其他</w:t>
            </w:r>
          </w:p>
        </w:tc>
        <w:tc>
          <w:tcPr>
            <w:tcW w:w="4210" w:type="dxa"/>
            <w:tcBorders>
              <w:top w:val="single" w:color="000000" w:sz="4" w:space="0"/>
              <w:left w:val="nil"/>
              <w:bottom w:val="single" w:color="000000" w:sz="4" w:space="0"/>
              <w:right w:val="single" w:color="000000" w:sz="4" w:space="0"/>
            </w:tcBorders>
            <w:shd w:val="clear" w:color="auto" w:fill="auto"/>
            <w:vAlign w:val="center"/>
          </w:tcPr>
          <w:p w14:paraId="3BCA5DA2">
            <w:pPr>
              <w:keepNext w:val="0"/>
              <w:keepLines w:val="0"/>
              <w:pageBreakBefore w:val="0"/>
              <w:widowControl w:val="0"/>
              <w:kinsoku/>
              <w:wordWrap w:val="0"/>
              <w:overflowPunct/>
              <w:topLinePunct/>
              <w:autoSpaceDE/>
              <w:autoSpaceDN/>
              <w:bidi w:val="0"/>
              <w:adjustRightInd/>
              <w:snapToGrid/>
              <w:spacing w:line="400" w:lineRule="exact"/>
              <w:jc w:val="left"/>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符合</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文件要求</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09240AF">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eastAsia"/>
                <w:color w:val="000000" w:themeColor="text1"/>
                <w:highlight w:val="none"/>
                <w:lang w:val="en-US" w:eastAsia="zh-CN"/>
                <w14:textFill>
                  <w14:solidFill>
                    <w14:schemeClr w14:val="tx1"/>
                  </w14:solidFill>
                </w14:textFill>
              </w:rPr>
            </w:pPr>
          </w:p>
        </w:tc>
      </w:tr>
    </w:tbl>
    <w:p w14:paraId="76B48D8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（注：无论何种原因，即使供应商开标时携带了证书材料的原件，但在谈判响应文件中未提供与之内容完全一致的复印件或扫描件的，谈判小组可以视同其未提供。）</w:t>
      </w:r>
    </w:p>
    <w:p w14:paraId="2532E9B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错误报价修正：</w:t>
      </w:r>
    </w:p>
    <w:p w14:paraId="001A64E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r>
        <w:rPr>
          <w:rFonts w:hint="eastAsia"/>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计算上的算术错误。修正错误的原则如下：</w:t>
      </w:r>
    </w:p>
    <w:p w14:paraId="345D246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（1）谈判响应文件中开标一览表（报价表）内容与谈判响应文件中明细表内容不一致的，以开标一览表（报价表）为准。</w:t>
      </w:r>
    </w:p>
    <w:p w14:paraId="7288D25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（2）如果数字表示的金额和用文字表示的金额不一致时，以文字表示的金额为准；</w:t>
      </w:r>
    </w:p>
    <w:p w14:paraId="35E04FED">
      <w:pPr>
        <w:pStyle w:val="5"/>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（3）如果谈判响应文件中大写金额和小写金额不一致的，以大写金额为准；总价金额与按单价汇总金额不一致的，以单价金额计算结果为准；单价金额小数点有明显错位的，应以总价为准，并修改单</w:t>
      </w:r>
      <w:r>
        <w:rPr>
          <w:rFonts w:hint="eastAsia"/>
          <w:color w:val="000000" w:themeColor="text1"/>
          <w:highlight w:val="none"/>
          <w:lang w:eastAsia="zh-CN"/>
          <w14:textFill>
            <w14:solidFill>
              <w14:schemeClr w14:val="tx1"/>
            </w14:solidFill>
          </w14:textFill>
        </w:rPr>
        <w:t>价。</w:t>
      </w:r>
    </w:p>
    <w:p w14:paraId="63786E1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（4）谈判小组将允许投标供应商修改其投标中不构成重大偏离的微小的、非正规的、不一致的或不规则的地方，但这些修改不能影响任何投标供应商的名次相应排列。</w:t>
      </w:r>
    </w:p>
    <w:p w14:paraId="4588231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 报价关键漏（缺）项处理：</w:t>
      </w:r>
    </w:p>
    <w:p w14:paraId="575AB3A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谈判小组对合格的投标供应商的投标报价进行详细分析、核查，检查其是否存在关键漏（缺）报项，若存在关键漏（缺）报项，在评审时取其他有效投标供应商的该项有效报价中的最高报价加入评审价进行评审，对多报项及赠送项的价格评审时不予核减报价进行评审。谈判小组按照谈判文件规定对投标供应商报价进行调整修正，调整后的价格对投标供应商具有约束力。如果投标供应商不接受修正后的报价，则其报价将被拒绝，其投标响应文件为无效投标响应文件。</w:t>
      </w:r>
    </w:p>
    <w:p w14:paraId="39A73FD6">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四、评审结果</w:t>
      </w:r>
    </w:p>
    <w:p w14:paraId="5F742F24">
      <w:pPr>
        <w:pStyle w:val="5"/>
        <w:bidi w:val="0"/>
        <w:rPr>
          <w:rFonts w:hint="eastAsia"/>
          <w:color w:val="000000" w:themeColor="text1"/>
          <w:highlight w:val="none"/>
          <w14:textFill>
            <w14:solidFill>
              <w14:schemeClr w14:val="tx1"/>
            </w14:solidFill>
          </w14:textFill>
        </w:rPr>
      </w:pPr>
      <w:bookmarkStart w:id="524" w:name="_Toc144887257"/>
      <w:bookmarkStart w:id="525" w:name="_Toc144880867"/>
      <w:r>
        <w:rPr>
          <w:rFonts w:hint="eastAsia"/>
          <w:color w:val="000000" w:themeColor="text1"/>
          <w:highlight w:val="none"/>
          <w14:textFill>
            <w14:solidFill>
              <w14:schemeClr w14:val="tx1"/>
            </w14:solidFill>
          </w14:textFill>
        </w:rPr>
        <w:t>谈判小组应当从质量和服务均能满足采购文件实质性响应要求的供应商中，按照最后报价由低到高的顺序提出</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名以上成交候选人，并编写评审报告。</w:t>
      </w:r>
      <w:bookmarkEnd w:id="524"/>
      <w:bookmarkEnd w:id="525"/>
      <w:r>
        <w:rPr>
          <w:rFonts w:hint="eastAsia"/>
          <w:color w:val="000000" w:themeColor="text1"/>
          <w:highlight w:val="none"/>
          <w14:textFill>
            <w14:solidFill>
              <w14:schemeClr w14:val="tx1"/>
            </w14:solidFill>
          </w14:textFill>
        </w:rPr>
        <w:t>最后报价相同的，则由谈判小组采取随机抽取方式确定成交候选顺序。</w:t>
      </w:r>
    </w:p>
    <w:p w14:paraId="1497310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采购人授权谈判小组，从评审报告提出的成交候选人中，根据质量和服务均能满足采购文件实质性响应要求且最后报价最低的原则确定成交供应商。</w:t>
      </w:r>
    </w:p>
    <w:p w14:paraId="58995D4C">
      <w:pPr>
        <w:pStyle w:val="5"/>
        <w:bidi w:val="0"/>
        <w:rPr>
          <w:rFonts w:hint="eastAsia"/>
          <w:color w:val="000000" w:themeColor="text1"/>
          <w:highlight w:val="none"/>
          <w14:textFill>
            <w14:solidFill>
              <w14:schemeClr w14:val="tx1"/>
            </w14:solidFill>
          </w14:textFill>
        </w:rPr>
      </w:pPr>
      <w:bookmarkStart w:id="526" w:name="_Toc144887258"/>
      <w:r>
        <w:rPr>
          <w:rFonts w:hint="eastAsia"/>
          <w:color w:val="000000" w:themeColor="text1"/>
          <w:highlight w:val="none"/>
          <w14:textFill>
            <w14:solidFill>
              <w14:schemeClr w14:val="tx1"/>
            </w14:solidFill>
          </w14:textFill>
        </w:rPr>
        <w:br w:type="page"/>
      </w:r>
      <w:bookmarkStart w:id="550" w:name="_GoBack"/>
      <w:bookmarkEnd w:id="550"/>
    </w:p>
    <w:bookmarkEnd w:id="520"/>
    <w:bookmarkEnd w:id="521"/>
    <w:bookmarkEnd w:id="522"/>
    <w:bookmarkEnd w:id="523"/>
    <w:p w14:paraId="09BAF5BF">
      <w:pPr>
        <w:pStyle w:val="2"/>
        <w:bidi w:val="0"/>
        <w:rPr>
          <w:rFonts w:hint="eastAsia"/>
          <w:color w:val="000000" w:themeColor="text1"/>
          <w:highlight w:val="none"/>
          <w14:textFill>
            <w14:solidFill>
              <w14:schemeClr w14:val="tx1"/>
            </w14:solidFill>
          </w14:textFill>
        </w:rPr>
      </w:pPr>
      <w:bookmarkStart w:id="527" w:name="_Toc11544"/>
      <w:r>
        <w:rPr>
          <w:rFonts w:hint="eastAsia"/>
          <w:color w:val="000000" w:themeColor="text1"/>
          <w:highlight w:val="none"/>
          <w14:textFill>
            <w14:solidFill>
              <w14:schemeClr w14:val="tx1"/>
            </w14:solidFill>
          </w14:textFill>
        </w:rPr>
        <w:t>第</w:t>
      </w:r>
      <w:r>
        <w:rPr>
          <w:rFonts w:hint="eastAsia"/>
          <w:color w:val="000000" w:themeColor="text1"/>
          <w:highlight w:val="none"/>
          <w:lang w:eastAsia="zh-CN"/>
          <w14:textFill>
            <w14:solidFill>
              <w14:schemeClr w14:val="tx1"/>
            </w14:solidFill>
          </w14:textFill>
        </w:rPr>
        <w:t>六</w:t>
      </w:r>
      <w:r>
        <w:rPr>
          <w:rFonts w:hint="eastAsia"/>
          <w:color w:val="000000" w:themeColor="text1"/>
          <w:highlight w:val="none"/>
          <w14:textFill>
            <w14:solidFill>
              <w14:schemeClr w14:val="tx1"/>
            </w14:solidFill>
          </w14:textFill>
        </w:rPr>
        <w:t>章 政府采购合同</w:t>
      </w:r>
      <w:bookmarkEnd w:id="526"/>
      <w:bookmarkEnd w:id="527"/>
    </w:p>
    <w:p w14:paraId="722BAD2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（本合同模板仅供参考，中标人可以根据实际需求与业主商议合同内容）</w:t>
      </w:r>
    </w:p>
    <w:p w14:paraId="0DA6A48C">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6D6CFA00">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服务人（乙方）：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2883BE4C">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签订地点：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淮南市</w:t>
      </w:r>
      <w:r>
        <w:rPr>
          <w:rFonts w:hint="eastAsia"/>
          <w:color w:val="000000" w:themeColor="text1"/>
          <w:highlight w:val="none"/>
          <w:u w:val="single"/>
          <w14:textFill>
            <w14:solidFill>
              <w14:schemeClr w14:val="tx1"/>
            </w14:solidFill>
          </w14:textFill>
        </w:rPr>
        <w:t xml:space="preserve"> </w:t>
      </w:r>
    </w:p>
    <w:p w14:paraId="25E072E2">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3D9F24D0">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3CEB853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（采购人名称，</w:t>
      </w:r>
      <w:r>
        <w:rPr>
          <w:rFonts w:hint="eastAsia"/>
          <w:color w:val="000000" w:themeColor="text1"/>
          <w:highlight w:val="none"/>
          <w:lang w:val="zh-CN"/>
          <w14:textFill>
            <w14:solidFill>
              <w14:schemeClr w14:val="tx1"/>
            </w14:solidFill>
          </w14:textFill>
        </w:rPr>
        <w:t>以下简称：甲方</w:t>
      </w:r>
      <w:r>
        <w:rPr>
          <w:rFonts w:hint="eastAsia"/>
          <w:color w:val="000000" w:themeColor="text1"/>
          <w:highlight w:val="none"/>
          <w14:textFill>
            <w14:solidFill>
              <w14:schemeClr w14:val="tx1"/>
            </w14:solidFill>
          </w14:textFill>
        </w:rPr>
        <w:t>）通过</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（采购代理机构名称）组织的竞争性谈判采购方式，经谈判小组评定</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（成交供应商名称，</w:t>
      </w:r>
      <w:r>
        <w:rPr>
          <w:rFonts w:hint="eastAsia"/>
          <w:color w:val="000000" w:themeColor="text1"/>
          <w:highlight w:val="none"/>
          <w:lang w:val="zh-CN"/>
          <w14:textFill>
            <w14:solidFill>
              <w14:schemeClr w14:val="tx1"/>
            </w14:solidFill>
          </w14:textFill>
        </w:rPr>
        <w:t>以下简称：乙方</w:t>
      </w:r>
      <w:r>
        <w:rPr>
          <w:rFonts w:hint="eastAsia"/>
          <w:color w:val="000000" w:themeColor="text1"/>
          <w:highlight w:val="none"/>
          <w14:textFill>
            <w14:solidFill>
              <w14:schemeClr w14:val="tx1"/>
            </w14:solidFill>
          </w14:textFill>
        </w:rPr>
        <w:t>）为本项目成交供应商，现按照采购文件确定的事项签订本合同。</w:t>
      </w:r>
    </w:p>
    <w:p w14:paraId="2DE3A6F4">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52FEDCF5">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一、</w:t>
      </w:r>
      <w:bookmarkStart w:id="528" w:name="_Toc24059"/>
      <w:bookmarkEnd w:id="528"/>
      <w:bookmarkStart w:id="529" w:name="_Toc3029"/>
      <w:bookmarkEnd w:id="529"/>
      <w:bookmarkStart w:id="530" w:name="_Toc2232"/>
      <w:bookmarkEnd w:id="530"/>
      <w:r>
        <w:rPr>
          <w:rFonts w:hint="eastAsia"/>
          <w:color w:val="000000" w:themeColor="text1"/>
          <w:highlight w:val="none"/>
          <w:lang w:val="zh-CN" w:eastAsia="zh-CN"/>
          <w14:textFill>
            <w14:solidFill>
              <w14:schemeClr w14:val="tx1"/>
            </w14:solidFill>
          </w14:textFill>
        </w:rPr>
        <w:t>合同组成部分</w:t>
      </w:r>
    </w:p>
    <w:p w14:paraId="00FA59F5">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下列文</w:t>
      </w:r>
      <w:bookmarkStart w:id="531" w:name="_Toc23292"/>
      <w:bookmarkStart w:id="532" w:name="_Toc6773"/>
      <w:bookmarkStart w:id="533" w:name="_Toc2918"/>
      <w:bookmarkStart w:id="534" w:name="_Toc18585"/>
      <w:bookmarkStart w:id="535" w:name="_Toc6311"/>
      <w:bookmarkStart w:id="536" w:name="_Toc21551"/>
      <w:bookmarkStart w:id="537" w:name="_Toc22185"/>
      <w:bookmarkStart w:id="538" w:name="_Toc21631"/>
      <w:r>
        <w:rPr>
          <w:rFonts w:hint="eastAsia"/>
          <w:color w:val="000000" w:themeColor="text1"/>
          <w:highlight w:val="none"/>
          <w:lang w:val="zh-CN"/>
          <w14:textFill>
            <w14:solidFill>
              <w14:schemeClr w14:val="tx1"/>
            </w14:solidFill>
          </w14:textFill>
        </w:rPr>
        <w:t>件为本合同的组成部分，并构成一个整体，需综合解释、相互补充。如果下列文件内容出现不一致的情形，那么在保证按照采购文件确定的事项前提下，组成本合同的多个文件的优先适用顺序如下：</w:t>
      </w:r>
    </w:p>
    <w:p w14:paraId="55679A85">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zh-CN"/>
          <w14:textFill>
            <w14:solidFill>
              <w14:schemeClr w14:val="tx1"/>
            </w14:solidFill>
          </w14:textFill>
        </w:rPr>
        <w:t>本合同及其补充合同、变更协议；</w:t>
      </w:r>
    </w:p>
    <w:p w14:paraId="447676C7">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2、成交</w:t>
      </w:r>
      <w:r>
        <w:rPr>
          <w:rFonts w:hint="eastAsia"/>
          <w:color w:val="000000" w:themeColor="text1"/>
          <w:highlight w:val="none"/>
          <w:lang w:val="zh-CN"/>
          <w14:textFill>
            <w14:solidFill>
              <w14:schemeClr w14:val="tx1"/>
            </w14:solidFill>
          </w14:textFill>
        </w:rPr>
        <w:t>通知书；</w:t>
      </w:r>
    </w:p>
    <w:p w14:paraId="56FA8259">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3、谈判响应</w:t>
      </w:r>
      <w:r>
        <w:rPr>
          <w:rFonts w:hint="eastAsia"/>
          <w:color w:val="000000" w:themeColor="text1"/>
          <w:highlight w:val="none"/>
          <w:lang w:val="zh-CN"/>
          <w14:textFill>
            <w14:solidFill>
              <w14:schemeClr w14:val="tx1"/>
            </w14:solidFill>
          </w14:textFill>
        </w:rPr>
        <w:t>文件；</w:t>
      </w:r>
    </w:p>
    <w:p w14:paraId="052AD4FC">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4、谈判</w:t>
      </w:r>
      <w:r>
        <w:rPr>
          <w:rFonts w:hint="eastAsia"/>
          <w:color w:val="000000" w:themeColor="text1"/>
          <w:highlight w:val="none"/>
          <w:lang w:val="zh-CN"/>
          <w14:textFill>
            <w14:solidFill>
              <w14:schemeClr w14:val="tx1"/>
            </w14:solidFill>
          </w14:textFill>
        </w:rPr>
        <w:t>文件（含澄清或者修改文件）；</w:t>
      </w:r>
    </w:p>
    <w:p w14:paraId="3B702148">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val="zh-CN"/>
          <w14:textFill>
            <w14:solidFill>
              <w14:schemeClr w14:val="tx1"/>
            </w14:solidFill>
          </w14:textFill>
        </w:rPr>
        <w:t>其他相关采购文件。</w:t>
      </w:r>
    </w:p>
    <w:p w14:paraId="2EDB2DC8">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二、</w:t>
      </w:r>
      <w:bookmarkEnd w:id="531"/>
      <w:bookmarkEnd w:id="532"/>
      <w:bookmarkEnd w:id="533"/>
      <w:bookmarkEnd w:id="534"/>
      <w:bookmarkEnd w:id="535"/>
      <w:bookmarkEnd w:id="536"/>
      <w:bookmarkEnd w:id="537"/>
      <w:bookmarkEnd w:id="538"/>
      <w:r>
        <w:rPr>
          <w:rFonts w:hint="eastAsia"/>
          <w:color w:val="000000" w:themeColor="text1"/>
          <w:highlight w:val="none"/>
          <w:lang w:val="zh-CN" w:eastAsia="zh-CN"/>
          <w14:textFill>
            <w14:solidFill>
              <w14:schemeClr w14:val="tx1"/>
            </w14:solidFill>
          </w14:textFill>
        </w:rPr>
        <w:t>服务内容</w:t>
      </w:r>
    </w:p>
    <w:p w14:paraId="52AD476A">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（见采购需求）</w:t>
      </w:r>
    </w:p>
    <w:p w14:paraId="747840B9">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三、价款</w:t>
      </w:r>
    </w:p>
    <w:tbl>
      <w:tblPr>
        <w:tblStyle w:val="2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49"/>
        <w:gridCol w:w="1725"/>
        <w:gridCol w:w="1680"/>
        <w:gridCol w:w="1351"/>
      </w:tblGrid>
      <w:tr w14:paraId="5315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1" w:type="dxa"/>
            <w:noWrap w:val="0"/>
            <w:vAlign w:val="center"/>
          </w:tcPr>
          <w:p w14:paraId="2505423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849" w:type="dxa"/>
            <w:noWrap w:val="0"/>
            <w:vAlign w:val="center"/>
          </w:tcPr>
          <w:p w14:paraId="554703E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项目内容</w:t>
            </w:r>
          </w:p>
        </w:tc>
        <w:tc>
          <w:tcPr>
            <w:tcW w:w="1725" w:type="dxa"/>
            <w:noWrap w:val="0"/>
            <w:vAlign w:val="center"/>
          </w:tcPr>
          <w:p w14:paraId="15B32FB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分项单价</w:t>
            </w:r>
          </w:p>
        </w:tc>
        <w:tc>
          <w:tcPr>
            <w:tcW w:w="1680" w:type="dxa"/>
            <w:noWrap w:val="0"/>
            <w:vAlign w:val="center"/>
          </w:tcPr>
          <w:p w14:paraId="0C89513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分项合计</w:t>
            </w:r>
          </w:p>
        </w:tc>
        <w:tc>
          <w:tcPr>
            <w:tcW w:w="1351" w:type="dxa"/>
            <w:noWrap w:val="0"/>
            <w:vAlign w:val="center"/>
          </w:tcPr>
          <w:p w14:paraId="43DD608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6A9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noWrap w:val="0"/>
            <w:vAlign w:val="center"/>
          </w:tcPr>
          <w:p w14:paraId="1ABBF343">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3849" w:type="dxa"/>
            <w:noWrap w:val="0"/>
            <w:vAlign w:val="center"/>
          </w:tcPr>
          <w:p w14:paraId="221D556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725" w:type="dxa"/>
            <w:noWrap w:val="0"/>
            <w:vAlign w:val="center"/>
          </w:tcPr>
          <w:p w14:paraId="5E4C214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680" w:type="dxa"/>
            <w:noWrap w:val="0"/>
            <w:vAlign w:val="center"/>
          </w:tcPr>
          <w:p w14:paraId="227ED82A">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351" w:type="dxa"/>
            <w:noWrap w:val="0"/>
            <w:vAlign w:val="center"/>
          </w:tcPr>
          <w:p w14:paraId="6A0546A4">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r>
      <w:tr w14:paraId="4AEA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noWrap w:val="0"/>
            <w:vAlign w:val="center"/>
          </w:tcPr>
          <w:p w14:paraId="75B759FD">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849" w:type="dxa"/>
            <w:noWrap w:val="0"/>
            <w:vAlign w:val="center"/>
          </w:tcPr>
          <w:p w14:paraId="19642461">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725" w:type="dxa"/>
            <w:noWrap w:val="0"/>
            <w:vAlign w:val="center"/>
          </w:tcPr>
          <w:p w14:paraId="39DB6732">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680" w:type="dxa"/>
            <w:noWrap w:val="0"/>
            <w:vAlign w:val="center"/>
          </w:tcPr>
          <w:p w14:paraId="513F5E4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351" w:type="dxa"/>
            <w:noWrap w:val="0"/>
            <w:vAlign w:val="center"/>
          </w:tcPr>
          <w:p w14:paraId="2195CD75">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r>
      <w:tr w14:paraId="6FDE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noWrap w:val="0"/>
            <w:vAlign w:val="center"/>
          </w:tcPr>
          <w:p w14:paraId="4D7E1FB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3849" w:type="dxa"/>
            <w:noWrap w:val="0"/>
            <w:vAlign w:val="center"/>
          </w:tcPr>
          <w:p w14:paraId="10A41B6B">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725" w:type="dxa"/>
            <w:noWrap w:val="0"/>
            <w:vAlign w:val="center"/>
          </w:tcPr>
          <w:p w14:paraId="511C5969">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680" w:type="dxa"/>
            <w:noWrap w:val="0"/>
            <w:vAlign w:val="center"/>
          </w:tcPr>
          <w:p w14:paraId="4863FF96">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c>
          <w:tcPr>
            <w:tcW w:w="1351" w:type="dxa"/>
            <w:noWrap w:val="0"/>
            <w:vAlign w:val="center"/>
          </w:tcPr>
          <w:p w14:paraId="010A170A">
            <w:pPr>
              <w:keepNext w:val="0"/>
              <w:keepLines w:val="0"/>
              <w:pageBreakBefore w:val="0"/>
              <w:widowControl w:val="0"/>
              <w:kinsoku/>
              <w:wordWrap w:val="0"/>
              <w:overflowPunct/>
              <w:topLinePunct/>
              <w:autoSpaceDE/>
              <w:autoSpaceDN/>
              <w:bidi w:val="0"/>
              <w:adjustRightInd/>
              <w:snapToGrid/>
              <w:spacing w:line="400" w:lineRule="exact"/>
              <w:jc w:val="center"/>
              <w:textAlignment w:val="auto"/>
              <w:rPr>
                <w:color w:val="000000" w:themeColor="text1"/>
                <w:highlight w:val="none"/>
                <w14:textFill>
                  <w14:solidFill>
                    <w14:schemeClr w14:val="tx1"/>
                  </w14:solidFill>
                </w14:textFill>
              </w:rPr>
            </w:pPr>
          </w:p>
        </w:tc>
      </w:tr>
    </w:tbl>
    <w:p w14:paraId="1237872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本合同总价为：￥</w:t>
      </w:r>
      <w:r>
        <w:rPr>
          <w:rFonts w:hint="eastAsia"/>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元（大写：人民币</w:t>
      </w:r>
      <w:r>
        <w:rPr>
          <w:rFonts w:hint="eastAsia"/>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元）；</w:t>
      </w:r>
    </w:p>
    <w:p w14:paraId="53FB9668">
      <w:pPr>
        <w:pStyle w:val="6"/>
        <w:bidi w:val="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四、付款方式：</w:t>
      </w:r>
      <w:r>
        <w:rPr>
          <w:rFonts w:hint="eastAsia"/>
          <w:color w:val="000000" w:themeColor="text1"/>
          <w:highlight w:val="none"/>
          <w:u w:val="single"/>
          <w:lang w:val="en-US"/>
          <w14:textFill>
            <w14:solidFill>
              <w14:schemeClr w14:val="tx1"/>
            </w14:solidFill>
          </w14:textFill>
        </w:rPr>
        <w:t xml:space="preserve">                                          </w:t>
      </w:r>
    </w:p>
    <w:p w14:paraId="60EFAAA9">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lang w:val="zh-CN" w:eastAsia="zh-CN"/>
          <w14:textFill>
            <w14:solidFill>
              <w14:schemeClr w14:val="tx1"/>
            </w14:solidFill>
          </w14:textFill>
        </w:rPr>
        <w:t>合同履行期限：</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zh-CN" w:eastAsia="zh-CN"/>
          <w14:textFill>
            <w14:solidFill>
              <w14:schemeClr w14:val="tx1"/>
            </w14:solidFill>
          </w14:textFill>
        </w:rPr>
        <w:t>天</w:t>
      </w:r>
    </w:p>
    <w:p w14:paraId="4D6FB06C">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六、违约责任</w:t>
      </w:r>
    </w:p>
    <w:p w14:paraId="25B5DCD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1、除不可抗力外，如果乙方没有按照本合同约定的期限、地点和方式履行，那么甲方可要求乙方支付违约金，违约金按每迟延履行一日的应提供而未提供服务价格的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0.5</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%计算，最高限额为本合同总价的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5</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%；迟延履行的违约金计算数额达到前述最高限额之日起，甲方有权在要求乙方支付违约金的同时，书面通知乙方解除本合同；</w:t>
      </w:r>
    </w:p>
    <w:p w14:paraId="5FA507E6">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2、除不可抗力外，如果甲方没有按照本合同约定的付款方式付款，那么乙方可要求甲方支付违约金，违约金按每迟延付款一日的应付而未付款的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0.5</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%计算，最高限额为本合同总价的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5</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%；迟延付款的违约金计算数额达到前述最高限额之日起，乙方有权在要求甲方支付违约金的同时，书面通知甲方解除本合同；</w:t>
      </w:r>
    </w:p>
    <w:p w14:paraId="346CF7E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CCFED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6EB7E2E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66C2D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6、如果出现政府采购监督管理部门在处理投诉事项期间，书面通知甲方暂停采购活动的情形，或者询问或质疑事项可能影响中标结果的，导致甲方中止履行合同的情形，均不视为甲方违约。</w:t>
      </w:r>
    </w:p>
    <w:p w14:paraId="5A931577">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七、履约保证金</w:t>
      </w:r>
    </w:p>
    <w:p w14:paraId="55EE00B6">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1、本项目履约保证金为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（人民币)，收受人为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，期限至</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1C6E78F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2、乙方提供的履约保证金按规定格式以银行保函形式提供的，与此有关的费用由卖方承担。</w:t>
      </w:r>
    </w:p>
    <w:p w14:paraId="4B9235A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3、如乙方未能履行其合同规定的任何义务，甲方有权从履约保证金中取得补偿。</w:t>
      </w:r>
    </w:p>
    <w:p w14:paraId="1927885B">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八、合同解除</w:t>
      </w:r>
    </w:p>
    <w:p w14:paraId="401F9D4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1、甲乙双方经协商一致可以解除合同；</w:t>
      </w:r>
    </w:p>
    <w:p w14:paraId="78E3C80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2、乙方有下列情形之一的，甲方有权解除合同；</w:t>
      </w:r>
    </w:p>
    <w:p w14:paraId="4784773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（1）乙方提供的服务不符合技术标准的；</w:t>
      </w:r>
    </w:p>
    <w:p w14:paraId="5824F86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（2）乙方不能在合同约定的期限内提供服务的；</w:t>
      </w:r>
    </w:p>
    <w:p w14:paraId="373D576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（3）乙方未经甲方书面同意而将本项目转让给第三方的；</w:t>
      </w:r>
    </w:p>
    <w:p w14:paraId="2801929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3、甲方有下列情形之一的，乙方有权解除合同；</w:t>
      </w:r>
    </w:p>
    <w:p w14:paraId="1DBC9F6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（1）甲方拒不依约支付项目款项的；</w:t>
      </w:r>
    </w:p>
    <w:p w14:paraId="24B5C59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（2）甲方拒不接受乙方服务；</w:t>
      </w:r>
    </w:p>
    <w:p w14:paraId="370BCFBD">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九、转让与分包</w:t>
      </w:r>
    </w:p>
    <w:p w14:paraId="369C002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1.除甲方事先书面同意外，乙方不得部分转让或全部转让其应履行的合同义务。</w:t>
      </w:r>
    </w:p>
    <w:p w14:paraId="15F25C4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2.乙方应在谈判响应文件中或以其他书面形式对甲方确认本合同项下所授予的所有分包合同。但该确认不解除乙方承担的本合同下的任何责任或义务。意即在本合同项下，乙方对甲方负总责。</w:t>
      </w:r>
    </w:p>
    <w:p w14:paraId="57B2CF78">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十、合同文件及资料的使用</w:t>
      </w:r>
    </w:p>
    <w:p w14:paraId="18387A9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1.乙方在未经甲方同意的情况下，不得将合同、合同中的规定、有关计划、样本或甲方为上述内容向乙方提供的资料透露给任何人。</w:t>
      </w:r>
    </w:p>
    <w:p w14:paraId="5CAF641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2.除非执行合同需要，在事先未得到甲方同意的情况下，乙方不得使用前款所列的任何文件和资料。</w:t>
      </w:r>
    </w:p>
    <w:p w14:paraId="785E5800">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十一、合同争议的解决</w:t>
      </w:r>
    </w:p>
    <w:p w14:paraId="59FB6169">
      <w:pPr>
        <w:pStyle w:val="5"/>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本合同履行过程中发生的任何争议，双方当事人均可通过和解或者调解解决；不愿和解、调解或者和解、调解不成的，可以向</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项目所在地</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人民法院起诉</w:t>
      </w:r>
      <w:r>
        <w:rPr>
          <w:rFonts w:hint="eastAsia"/>
          <w:color w:val="000000" w:themeColor="text1"/>
          <w:highlight w:val="none"/>
          <w:lang w:eastAsia="zh-CN"/>
          <w14:textFill>
            <w14:solidFill>
              <w14:schemeClr w14:val="tx1"/>
            </w14:solidFill>
          </w14:textFill>
        </w:rPr>
        <w:t>。</w:t>
      </w:r>
    </w:p>
    <w:p w14:paraId="73062296">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十二、其他</w:t>
      </w:r>
    </w:p>
    <w:p w14:paraId="6A5764FA">
      <w:pPr>
        <w:pStyle w:val="5"/>
        <w:bidi w:val="0"/>
        <w:rPr>
          <w:rFonts w:hint="eastAsia"/>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p>
    <w:p w14:paraId="6DD970A9">
      <w:pPr>
        <w:pStyle w:val="6"/>
        <w:bidi w:val="0"/>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十三、合同生效</w:t>
      </w:r>
    </w:p>
    <w:p w14:paraId="7A9D43E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自双方当事人签字或盖章之日起生效，补充协议同样具有法律效应。</w:t>
      </w:r>
    </w:p>
    <w:p w14:paraId="335238CC">
      <w:pPr>
        <w:pStyle w:val="5"/>
        <w:bidi w:val="0"/>
        <w:rPr>
          <w:rFonts w:hint="eastAsia"/>
          <w:color w:val="000000" w:themeColor="text1"/>
          <w:highlight w:val="none"/>
          <w14:textFill>
            <w14:solidFill>
              <w14:schemeClr w14:val="tx1"/>
            </w14:solidFill>
          </w14:textFill>
        </w:rPr>
      </w:pPr>
    </w:p>
    <w:tbl>
      <w:tblPr>
        <w:tblStyle w:val="26"/>
        <w:tblW w:w="9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9"/>
        <w:gridCol w:w="4980"/>
      </w:tblGrid>
      <w:tr w14:paraId="22A2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2" w:hRule="atLeast"/>
          <w:jc w:val="center"/>
        </w:trPr>
        <w:tc>
          <w:tcPr>
            <w:tcW w:w="4979" w:type="dxa"/>
          </w:tcPr>
          <w:p w14:paraId="7C29DCEC">
            <w:pPr>
              <w:bidi w:val="0"/>
              <w:rPr>
                <w:rFonts w:hint="eastAsia"/>
                <w:color w:val="000000" w:themeColor="text1"/>
                <w:highlight w:val="none"/>
                <w14:textFill>
                  <w14:solidFill>
                    <w14:schemeClr w14:val="tx1"/>
                  </w14:solidFill>
                </w14:textFill>
              </w:rPr>
            </w:pPr>
            <w:bookmarkStart w:id="539" w:name="_Toc20948"/>
            <w:bookmarkStart w:id="540" w:name="_Toc29341"/>
            <w:bookmarkStart w:id="541" w:name="_Toc29307"/>
            <w:bookmarkStart w:id="542" w:name="_Toc144887259"/>
            <w:r>
              <w:rPr>
                <w:rFonts w:hint="eastAsia"/>
                <w:color w:val="000000" w:themeColor="text1"/>
                <w:highlight w:val="none"/>
                <w14:textFill>
                  <w14:solidFill>
                    <w14:schemeClr w14:val="tx1"/>
                  </w14:solidFill>
                </w14:textFill>
              </w:rPr>
              <w:t>采购人（甲方）：（公章）</w:t>
            </w:r>
          </w:p>
          <w:p w14:paraId="1AECEFD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法定代表人或委托代理人</w:t>
            </w:r>
          </w:p>
          <w:p w14:paraId="450065F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或委托代理人</w:t>
            </w:r>
          </w:p>
          <w:p w14:paraId="3A24B3B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签字或盖章：</w:t>
            </w:r>
          </w:p>
          <w:p w14:paraId="1316B838">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p>
          <w:p w14:paraId="30EEE991">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p w14:paraId="52100403">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账号：</w:t>
            </w:r>
          </w:p>
          <w:p w14:paraId="623B8D84">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月    日</w:t>
            </w:r>
          </w:p>
        </w:tc>
        <w:tc>
          <w:tcPr>
            <w:tcW w:w="4980" w:type="dxa"/>
          </w:tcPr>
          <w:p w14:paraId="7F0BB4A8">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服务单位</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乙</w:t>
            </w:r>
            <w:r>
              <w:rPr>
                <w:rFonts w:hint="eastAsia"/>
                <w:color w:val="000000" w:themeColor="text1"/>
                <w:highlight w:val="none"/>
                <w14:textFill>
                  <w14:solidFill>
                    <w14:schemeClr w14:val="tx1"/>
                  </w14:solidFill>
                </w14:textFill>
              </w:rPr>
              <w:t>方）：（公章）</w:t>
            </w:r>
          </w:p>
          <w:p w14:paraId="3BCAB04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法定代表人或委托代理人</w:t>
            </w:r>
          </w:p>
          <w:p w14:paraId="511E50E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或委托代理人：</w:t>
            </w:r>
          </w:p>
          <w:p w14:paraId="1EA9D7F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签字或盖章：</w:t>
            </w:r>
          </w:p>
          <w:p w14:paraId="0EF774E9">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w:t>
            </w:r>
          </w:p>
          <w:p w14:paraId="1529A8CC">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p>
          <w:p w14:paraId="4BCD9212">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账号：</w:t>
            </w:r>
          </w:p>
          <w:p w14:paraId="2943CB72">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月    日</w:t>
            </w:r>
          </w:p>
        </w:tc>
      </w:tr>
    </w:tbl>
    <w:p w14:paraId="4BFBD3D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3595CD4">
      <w:pPr>
        <w:pStyle w:val="2"/>
        <w:bidi w:val="0"/>
        <w:rPr>
          <w:rFonts w:hint="eastAsia"/>
          <w:color w:val="000000" w:themeColor="text1"/>
          <w:highlight w:val="none"/>
          <w14:textFill>
            <w14:solidFill>
              <w14:schemeClr w14:val="tx1"/>
            </w14:solidFill>
          </w14:textFill>
        </w:rPr>
      </w:pPr>
      <w:bookmarkStart w:id="543" w:name="_Toc16323"/>
      <w:r>
        <w:rPr>
          <w:rFonts w:hint="eastAsia"/>
          <w:color w:val="000000" w:themeColor="text1"/>
          <w:highlight w:val="none"/>
          <w14:textFill>
            <w14:solidFill>
              <w14:schemeClr w14:val="tx1"/>
            </w14:solidFill>
          </w14:textFill>
        </w:rPr>
        <w:t>第</w:t>
      </w:r>
      <w:bookmarkEnd w:id="539"/>
      <w:bookmarkEnd w:id="540"/>
      <w:bookmarkEnd w:id="541"/>
      <w:r>
        <w:rPr>
          <w:rFonts w:hint="eastAsia"/>
          <w:color w:val="000000" w:themeColor="text1"/>
          <w:highlight w:val="none"/>
          <w14:textFill>
            <w14:solidFill>
              <w14:schemeClr w14:val="tx1"/>
            </w14:solidFill>
          </w14:textFill>
        </w:rPr>
        <w:t>七章 谈判响应文件格式</w:t>
      </w:r>
      <w:bookmarkEnd w:id="542"/>
      <w:bookmarkEnd w:id="543"/>
    </w:p>
    <w:p w14:paraId="4CBD0F70">
      <w:pPr>
        <w:pStyle w:val="5"/>
        <w:bidi w:val="0"/>
        <w:rPr>
          <w:rFonts w:hint="eastAsia"/>
          <w:color w:val="000000" w:themeColor="text1"/>
          <w:highlight w:val="none"/>
          <w14:textFill>
            <w14:solidFill>
              <w14:schemeClr w14:val="tx1"/>
            </w14:solidFill>
          </w14:textFill>
        </w:rPr>
      </w:pPr>
    </w:p>
    <w:p w14:paraId="7350C8C7">
      <w:pPr>
        <w:pStyle w:val="5"/>
        <w:bidi w:val="0"/>
        <w:rPr>
          <w:rFonts w:hint="eastAsia"/>
          <w:color w:val="000000" w:themeColor="text1"/>
          <w:highlight w:val="none"/>
          <w14:textFill>
            <w14:solidFill>
              <w14:schemeClr w14:val="tx1"/>
            </w14:solidFill>
          </w14:textFill>
        </w:rPr>
      </w:pPr>
    </w:p>
    <w:p w14:paraId="27F0B580">
      <w:pPr>
        <w:pStyle w:val="5"/>
        <w:bidi w:val="0"/>
        <w:rPr>
          <w:rFonts w:hint="eastAsia"/>
          <w:color w:val="000000" w:themeColor="text1"/>
          <w:highlight w:val="none"/>
          <w14:textFill>
            <w14:solidFill>
              <w14:schemeClr w14:val="tx1"/>
            </w14:solidFill>
          </w14:textFill>
        </w:rPr>
      </w:pPr>
    </w:p>
    <w:p w14:paraId="59B54BDB">
      <w:pPr>
        <w:pStyle w:val="5"/>
        <w:bidi w:val="0"/>
        <w:rPr>
          <w:rFonts w:hint="eastAsia"/>
          <w:color w:val="000000" w:themeColor="text1"/>
          <w:highlight w:val="none"/>
          <w14:textFill>
            <w14:solidFill>
              <w14:schemeClr w14:val="tx1"/>
            </w14:solidFill>
          </w14:textFill>
        </w:rPr>
      </w:pPr>
    </w:p>
    <w:p w14:paraId="304F2062">
      <w:pPr>
        <w:pStyle w:val="12"/>
        <w:bidi w:val="0"/>
        <w:rPr>
          <w:rFonts w:hint="eastAsia"/>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（项目名称）</w:t>
      </w:r>
    </w:p>
    <w:p w14:paraId="7205056D">
      <w:pPr>
        <w:pStyle w:val="5"/>
        <w:bidi w:val="0"/>
        <w:rPr>
          <w:rFonts w:hint="eastAsia"/>
          <w:color w:val="000000" w:themeColor="text1"/>
          <w:highlight w:val="none"/>
          <w14:textFill>
            <w14:solidFill>
              <w14:schemeClr w14:val="tx1"/>
            </w14:solidFill>
          </w14:textFill>
        </w:rPr>
      </w:pPr>
    </w:p>
    <w:p w14:paraId="17D7F3AA">
      <w:pPr>
        <w:pStyle w:val="12"/>
        <w:bidi w:val="0"/>
        <w:rPr>
          <w:rFonts w:hint="eastAsia"/>
          <w:color w:val="000000" w:themeColor="text1"/>
          <w:sz w:val="48"/>
          <w:szCs w:val="48"/>
          <w:highlight w:val="none"/>
          <w14:textFill>
            <w14:solidFill>
              <w14:schemeClr w14:val="tx1"/>
            </w14:solidFill>
          </w14:textFill>
        </w:rPr>
      </w:pPr>
      <w:r>
        <w:rPr>
          <w:rFonts w:hint="eastAsia"/>
          <w:color w:val="000000" w:themeColor="text1"/>
          <w:sz w:val="48"/>
          <w:szCs w:val="48"/>
          <w:highlight w:val="none"/>
          <w14:textFill>
            <w14:solidFill>
              <w14:schemeClr w14:val="tx1"/>
            </w14:solidFill>
          </w14:textFill>
        </w:rPr>
        <w:t>响  应  文  件</w:t>
      </w:r>
    </w:p>
    <w:p w14:paraId="0F085D69">
      <w:pPr>
        <w:pStyle w:val="1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p>
    <w:p w14:paraId="47422C0E">
      <w:pPr>
        <w:pStyle w:val="5"/>
        <w:bidi w:val="0"/>
        <w:rPr>
          <w:rFonts w:hint="eastAsia"/>
          <w:color w:val="000000" w:themeColor="text1"/>
          <w:highlight w:val="none"/>
          <w14:textFill>
            <w14:solidFill>
              <w14:schemeClr w14:val="tx1"/>
            </w14:solidFill>
          </w14:textFill>
        </w:rPr>
      </w:pPr>
    </w:p>
    <w:p w14:paraId="3324F146">
      <w:pPr>
        <w:pStyle w:val="5"/>
        <w:bidi w:val="0"/>
        <w:rPr>
          <w:rFonts w:hint="eastAsia"/>
          <w:color w:val="000000" w:themeColor="text1"/>
          <w:highlight w:val="none"/>
          <w14:textFill>
            <w14:solidFill>
              <w14:schemeClr w14:val="tx1"/>
            </w14:solidFill>
          </w14:textFill>
        </w:rPr>
      </w:pPr>
    </w:p>
    <w:p w14:paraId="56A25650">
      <w:pPr>
        <w:pStyle w:val="5"/>
        <w:bidi w:val="0"/>
        <w:rPr>
          <w:rFonts w:hint="eastAsia"/>
          <w:color w:val="000000" w:themeColor="text1"/>
          <w:highlight w:val="none"/>
          <w14:textFill>
            <w14:solidFill>
              <w14:schemeClr w14:val="tx1"/>
            </w14:solidFill>
          </w14:textFill>
        </w:rPr>
      </w:pPr>
    </w:p>
    <w:p w14:paraId="0928ECC2">
      <w:pPr>
        <w:pStyle w:val="5"/>
        <w:bidi w:val="0"/>
        <w:rPr>
          <w:rFonts w:hint="eastAsia"/>
          <w:color w:val="000000" w:themeColor="text1"/>
          <w:highlight w:val="none"/>
          <w14:textFill>
            <w14:solidFill>
              <w14:schemeClr w14:val="tx1"/>
            </w14:solidFill>
          </w14:textFill>
        </w:rPr>
      </w:pPr>
    </w:p>
    <w:p w14:paraId="775C941D">
      <w:pPr>
        <w:pStyle w:val="5"/>
        <w:bidi w:val="0"/>
        <w:rPr>
          <w:rFonts w:hint="eastAsia"/>
          <w:color w:val="000000" w:themeColor="text1"/>
          <w:highlight w:val="none"/>
          <w14:textFill>
            <w14:solidFill>
              <w14:schemeClr w14:val="tx1"/>
            </w14:solidFill>
          </w14:textFill>
        </w:rPr>
      </w:pPr>
    </w:p>
    <w:p w14:paraId="5465805C">
      <w:pPr>
        <w:pStyle w:val="5"/>
        <w:bidi w:val="0"/>
        <w:rPr>
          <w:rFonts w:hint="eastAsia"/>
          <w:color w:val="000000" w:themeColor="text1"/>
          <w:highlight w:val="none"/>
          <w14:textFill>
            <w14:solidFill>
              <w14:schemeClr w14:val="tx1"/>
            </w14:solidFill>
          </w14:textFill>
        </w:rPr>
      </w:pPr>
    </w:p>
    <w:p w14:paraId="3F60FB2D">
      <w:pPr>
        <w:pStyle w:val="5"/>
        <w:bidi w:val="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项目名称：</w:t>
      </w:r>
      <w:r>
        <w:rPr>
          <w:rFonts w:hint="eastAsia"/>
          <w:color w:val="000000" w:themeColor="text1"/>
          <w:sz w:val="32"/>
          <w:szCs w:val="32"/>
          <w:highlight w:val="none"/>
          <w:u w:val="single"/>
          <w:lang w:val="en-US" w:eastAsia="zh-CN"/>
          <w14:textFill>
            <w14:solidFill>
              <w14:schemeClr w14:val="tx1"/>
            </w14:solidFill>
          </w14:textFill>
        </w:rPr>
        <w:t xml:space="preserve">                                 </w:t>
      </w:r>
    </w:p>
    <w:p w14:paraId="1CD83989">
      <w:pPr>
        <w:pStyle w:val="5"/>
        <w:bidi w:val="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谈判响应文件内容：</w:t>
      </w:r>
      <w:r>
        <w:rPr>
          <w:rFonts w:hint="eastAsia"/>
          <w:color w:val="000000" w:themeColor="text1"/>
          <w:sz w:val="32"/>
          <w:szCs w:val="32"/>
          <w:highlight w:val="none"/>
          <w:u w:val="single"/>
          <w:lang w:val="en-US" w:eastAsia="zh-CN"/>
          <w14:textFill>
            <w14:solidFill>
              <w14:schemeClr w14:val="tx1"/>
            </w14:solidFill>
          </w14:textFill>
        </w:rPr>
        <w:t xml:space="preserve">      投标文件           </w:t>
      </w:r>
    </w:p>
    <w:p w14:paraId="74906C60">
      <w:pPr>
        <w:pStyle w:val="5"/>
        <w:bidi w:val="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投标供应商：</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（盖章）</w:t>
      </w:r>
    </w:p>
    <w:p w14:paraId="471B7255">
      <w:pPr>
        <w:pStyle w:val="5"/>
        <w:bidi w:val="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法定代表人（单位负责人）或其委托代理人：</w:t>
      </w:r>
      <w:r>
        <w:rPr>
          <w:rFonts w:hint="eastAsia"/>
          <w:color w:val="000000" w:themeColor="text1"/>
          <w:sz w:val="32"/>
          <w:szCs w:val="32"/>
          <w:highlight w:val="none"/>
          <w:u w:val="single"/>
          <w:lang w:val="en-US" w:eastAsia="zh-CN"/>
          <w14:textFill>
            <w14:solidFill>
              <w14:schemeClr w14:val="tx1"/>
            </w14:solidFill>
          </w14:textFill>
        </w:rPr>
        <w:t xml:space="preserve">   </w:t>
      </w:r>
      <w:r>
        <w:rPr>
          <w:rFonts w:hint="eastAsia"/>
          <w:color w:val="000000" w:themeColor="text1"/>
          <w:sz w:val="32"/>
          <w:szCs w:val="32"/>
          <w:highlight w:val="none"/>
          <w:lang w:val="en-US" w:eastAsia="zh-CN"/>
          <w14:textFill>
            <w14:solidFill>
              <w14:schemeClr w14:val="tx1"/>
            </w14:solidFill>
          </w14:textFill>
        </w:rPr>
        <w:t>（签字或盖章）</w:t>
      </w:r>
    </w:p>
    <w:p w14:paraId="54F52009">
      <w:pPr>
        <w:pStyle w:val="5"/>
        <w:bidi w:val="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日    期：</w:t>
      </w:r>
      <w:r>
        <w:rPr>
          <w:rFonts w:hint="eastAsia"/>
          <w:color w:val="000000" w:themeColor="text1"/>
          <w:sz w:val="32"/>
          <w:szCs w:val="32"/>
          <w:highlight w:val="none"/>
          <w:u w:val="single"/>
          <w:lang w:val="en-US" w:eastAsia="zh-CN"/>
          <w14:textFill>
            <w14:solidFill>
              <w14:schemeClr w14:val="tx1"/>
            </w14:solidFill>
          </w14:textFill>
        </w:rPr>
        <w:t xml:space="preserve">     年      月      日</w:t>
      </w:r>
    </w:p>
    <w:p w14:paraId="0C37AB6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8390F8D">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投标函</w:t>
      </w:r>
    </w:p>
    <w:p w14:paraId="4608600F">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致：XXXXX（采购人名称）</w:t>
      </w:r>
    </w:p>
    <w:p w14:paraId="5E8B317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1.经现场踏勘和研究</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谈判</w:t>
      </w:r>
      <w:r>
        <w:rPr>
          <w:rFonts w:hint="eastAsia"/>
          <w:color w:val="000000" w:themeColor="text1"/>
          <w:highlight w:val="none"/>
          <w14:textFill>
            <w14:solidFill>
              <w14:schemeClr w14:val="tx1"/>
            </w14:solidFill>
          </w14:textFill>
        </w:rPr>
        <w:t>文件的全部内容后，我方就上述任务及相关服务进行投标,其中投标报价为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元</w:t>
      </w:r>
      <w:r>
        <w:rPr>
          <w:rFonts w:hint="eastAsia"/>
          <w:color w:val="000000" w:themeColor="text1"/>
          <w:highlight w:val="none"/>
          <w14:textFill>
            <w14:solidFill>
              <w14:schemeClr w14:val="tx1"/>
            </w14:solidFill>
          </w14:textFill>
        </w:rPr>
        <w:t>，投标内容及</w:t>
      </w:r>
      <w:r>
        <w:rPr>
          <w:rFonts w:hint="eastAsia"/>
          <w:color w:val="000000" w:themeColor="text1"/>
          <w:highlight w:val="none"/>
          <w:lang w:eastAsia="zh-CN"/>
          <w14:textFill>
            <w14:solidFill>
              <w14:schemeClr w14:val="tx1"/>
            </w14:solidFill>
          </w14:textFill>
        </w:rPr>
        <w:t>服务期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响应</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招标</w:t>
      </w:r>
      <w:r>
        <w:rPr>
          <w:rFonts w:hint="eastAsia"/>
          <w:color w:val="000000" w:themeColor="text1"/>
          <w:highlight w:val="none"/>
          <w14:textFill>
            <w14:solidFill>
              <w14:schemeClr w14:val="tx1"/>
            </w14:solidFill>
          </w14:textFill>
        </w:rPr>
        <w:t>文件。质量标准</w:t>
      </w:r>
      <w:r>
        <w:rPr>
          <w:rFonts w:hint="eastAsia"/>
          <w:color w:val="000000" w:themeColor="text1"/>
          <w:highlight w:val="none"/>
          <w:u w:val="single"/>
          <w:lang w:val="en-US" w:eastAsia="zh-CN"/>
          <w14:textFill>
            <w14:solidFill>
              <w14:schemeClr w14:val="tx1"/>
            </w14:solidFill>
          </w14:textFill>
        </w:rPr>
        <w:t xml:space="preserve"> 合格 </w:t>
      </w:r>
      <w:r>
        <w:rPr>
          <w:rFonts w:hint="eastAsia"/>
          <w:color w:val="000000" w:themeColor="text1"/>
          <w:highlight w:val="none"/>
          <w14:textFill>
            <w14:solidFill>
              <w14:schemeClr w14:val="tx1"/>
            </w14:solidFill>
          </w14:textFill>
        </w:rPr>
        <w:t>。</w:t>
      </w:r>
    </w:p>
    <w:p w14:paraId="034EC84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2.如果我方中标，我方保证在中标通知书规定的期限内与你方签订合同协议书。</w:t>
      </w:r>
    </w:p>
    <w:p w14:paraId="3F1A06C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3.我方委派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担任本项目负责人，直接参与项目全过程服务。</w:t>
      </w:r>
    </w:p>
    <w:p w14:paraId="5F3AE57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4.如果我方中标，我方将按照规定提交履约担保。</w:t>
      </w:r>
    </w:p>
    <w:p w14:paraId="3C17950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5.投标有效期为自投标截止之日起</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日历天；我方承诺完全响应</w:t>
      </w:r>
      <w:r>
        <w:rPr>
          <w:rFonts w:hint="eastAsia"/>
          <w:color w:val="000000" w:themeColor="text1"/>
          <w:highlight w:val="none"/>
          <w:lang w:eastAsia="zh-CN"/>
          <w14:textFill>
            <w14:solidFill>
              <w14:schemeClr w14:val="tx1"/>
            </w14:solidFill>
          </w14:textFill>
        </w:rPr>
        <w:t>招标文件</w:t>
      </w:r>
      <w:r>
        <w:rPr>
          <w:rFonts w:hint="eastAsia"/>
          <w:color w:val="000000" w:themeColor="text1"/>
          <w:highlight w:val="none"/>
          <w14:textFill>
            <w14:solidFill>
              <w14:schemeClr w14:val="tx1"/>
            </w14:solidFill>
          </w14:textFill>
        </w:rPr>
        <w:t>及补充、澄清、修改文件中的全部内容。</w:t>
      </w:r>
    </w:p>
    <w:p w14:paraId="24CED72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6、我方为本项目提交的投标</w:t>
      </w: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文件有：</w:t>
      </w:r>
      <w:r>
        <w:rPr>
          <w:rFonts w:hint="eastAsia"/>
          <w:color w:val="000000" w:themeColor="text1"/>
          <w:highlight w:val="none"/>
          <w:u w:val="single"/>
          <w:lang w:val="en-US" w:eastAsia="zh-CN"/>
          <w14:textFill>
            <w14:solidFill>
              <w14:schemeClr w14:val="tx1"/>
            </w14:solidFill>
          </w14:textFill>
        </w:rPr>
        <w:t xml:space="preserve"> 正本壹份，副本叁份，电子U盘一份 </w:t>
      </w:r>
      <w:r>
        <w:rPr>
          <w:rFonts w:hint="eastAsia"/>
          <w:color w:val="000000" w:themeColor="text1"/>
          <w:highlight w:val="none"/>
          <w14:textFill>
            <w14:solidFill>
              <w14:schemeClr w14:val="tx1"/>
            </w14:solidFill>
          </w14:textFill>
        </w:rPr>
        <w:t>。</w:t>
      </w:r>
    </w:p>
    <w:p w14:paraId="5909DB9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7、我方愿意提供采购人可能另外要求的、与投标有关的文件资料，并保证我方已提供和将要提供的文件是真实的、准确的。</w:t>
      </w:r>
    </w:p>
    <w:p w14:paraId="3E9F8BA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8、我方完全理解你们不一定将合同授予最低报价的供应商。</w:t>
      </w:r>
    </w:p>
    <w:p w14:paraId="755383ED">
      <w:pPr>
        <w:pStyle w:val="5"/>
        <w:bidi w:val="0"/>
        <w:rPr>
          <w:rFonts w:hint="eastAsia"/>
          <w:color w:val="000000" w:themeColor="text1"/>
          <w:highlight w:val="none"/>
          <w14:textFill>
            <w14:solidFill>
              <w14:schemeClr w14:val="tx1"/>
            </w14:solidFill>
          </w14:textFill>
        </w:rPr>
      </w:pPr>
    </w:p>
    <w:p w14:paraId="710BDA0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供应商名称：（公章）</w:t>
      </w:r>
    </w:p>
    <w:p w14:paraId="3E4E448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法定代表人（单位负责人）或委托代理人（签字或盖章）：</w:t>
      </w:r>
    </w:p>
    <w:p w14:paraId="4394963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p w14:paraId="5240D56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通讯地址：</w:t>
      </w:r>
    </w:p>
    <w:p w14:paraId="3222148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邮政编码：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 话：</w:t>
      </w:r>
    </w:p>
    <w:p w14:paraId="69090B5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传真：</w:t>
      </w:r>
    </w:p>
    <w:p w14:paraId="5263537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63490E0">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格式1、法定代表人（单位负责人）授权委托书</w:t>
      </w:r>
    </w:p>
    <w:p w14:paraId="325C1EE7">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致：                                 </w:t>
      </w:r>
    </w:p>
    <w:p w14:paraId="1BC4042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（姓名）系</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（供应商名称）的法定代表人（单位负责人），现委托</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（姓名）为我方代理人。代理人根据授权，以我方名义签署、澄清、说明、补正、递交、撤回、修改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（项目名称）谈判响应文件、签订合同和处理有关事宜，其法律后果由我方承担。</w:t>
      </w:r>
    </w:p>
    <w:p w14:paraId="6E79B07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代理人无转委托权。</w:t>
      </w:r>
    </w:p>
    <w:p w14:paraId="1F51BA8E">
      <w:pPr>
        <w:pStyle w:val="5"/>
        <w:keepNext w:val="0"/>
        <w:keepLines w:val="0"/>
        <w:pageBreakBefore w:val="0"/>
        <w:widowControl w:val="0"/>
        <w:kinsoku/>
        <w:wordWrap w:val="0"/>
        <w:overflowPunct/>
        <w:topLinePunct/>
        <w:autoSpaceDE/>
        <w:autoSpaceDN/>
        <w:bidi w:val="0"/>
        <w:adjustRightInd/>
        <w:snapToGrid/>
        <w:ind w:firstLine="2800" w:firstLineChars="10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法定代表人（单位负责人）：（签字或盖章）：</w:t>
      </w:r>
    </w:p>
    <w:p w14:paraId="77822A95">
      <w:pPr>
        <w:pStyle w:val="5"/>
        <w:keepNext w:val="0"/>
        <w:keepLines w:val="0"/>
        <w:pageBreakBefore w:val="0"/>
        <w:widowControl w:val="0"/>
        <w:kinsoku/>
        <w:wordWrap w:val="0"/>
        <w:overflowPunct/>
        <w:topLinePunct/>
        <w:autoSpaceDE/>
        <w:autoSpaceDN/>
        <w:bidi w:val="0"/>
        <w:adjustRightInd/>
        <w:snapToGrid/>
        <w:ind w:firstLine="2800" w:firstLineChars="10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供应商名称（公章）：</w:t>
      </w:r>
    </w:p>
    <w:p w14:paraId="3EFCE535">
      <w:pPr>
        <w:pStyle w:val="5"/>
        <w:keepNext w:val="0"/>
        <w:keepLines w:val="0"/>
        <w:pageBreakBefore w:val="0"/>
        <w:widowControl w:val="0"/>
        <w:kinsoku/>
        <w:wordWrap w:val="0"/>
        <w:overflowPunct/>
        <w:topLinePunct/>
        <w:autoSpaceDE/>
        <w:autoSpaceDN/>
        <w:bidi w:val="0"/>
        <w:adjustRightInd/>
        <w:snapToGrid/>
        <w:ind w:firstLine="2800" w:firstLineChars="10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p w14:paraId="36C43763">
      <w:pPr>
        <w:pStyle w:val="5"/>
        <w:keepNext w:val="0"/>
        <w:keepLines w:val="0"/>
        <w:pageBreakBefore w:val="0"/>
        <w:widowControl w:val="0"/>
        <w:kinsoku/>
        <w:wordWrap w:val="0"/>
        <w:overflowPunct/>
        <w:topLinePunct/>
        <w:autoSpaceDE/>
        <w:autoSpaceDN/>
        <w:bidi w:val="0"/>
        <w:adjustRightInd/>
        <w:snapToGrid/>
        <w:ind w:firstLine="2800" w:firstLineChars="10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授权委托人联系方式：</w:t>
      </w:r>
    </w:p>
    <w:p w14:paraId="0CF9516F">
      <w:pPr>
        <w:pStyle w:val="5"/>
        <w:bidi w:val="0"/>
        <w:ind w:left="0" w:leftChars="0" w:firstLine="0" w:firstLineChars="0"/>
        <w:rPr>
          <w:rFonts w:hint="eastAsia"/>
          <w:color w:val="000000" w:themeColor="text1"/>
          <w:highlight w:val="none"/>
          <w14:textFill>
            <w14:solidFill>
              <w14:schemeClr w14:val="tx1"/>
            </w14:solidFill>
          </w14:textFill>
        </w:rPr>
      </w:pPr>
    </w:p>
    <w:p w14:paraId="196DB366">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附：委托代理人身份证正反面复印件或扫描件</w:t>
      </w:r>
    </w:p>
    <w:p w14:paraId="5604942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071BB71">
      <w:pPr>
        <w:pStyle w:val="6"/>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法定代表人（单位负责人）身份证明</w:t>
      </w:r>
    </w:p>
    <w:p w14:paraId="1BE06E2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w:t>
      </w:r>
      <w:r>
        <w:rPr>
          <w:rFonts w:hint="eastAsia"/>
          <w:color w:val="000000" w:themeColor="text1"/>
          <w:highlight w:val="none"/>
          <w:u w:val="single"/>
          <w14:textFill>
            <w14:solidFill>
              <w14:schemeClr w14:val="tx1"/>
            </w14:solidFill>
          </w14:textFill>
        </w:rPr>
        <w:t xml:space="preserve">                                           </w:t>
      </w:r>
    </w:p>
    <w:p w14:paraId="39A12EE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单位性质：</w:t>
      </w:r>
      <w:r>
        <w:rPr>
          <w:rFonts w:hint="eastAsia"/>
          <w:color w:val="000000" w:themeColor="text1"/>
          <w:highlight w:val="none"/>
          <w:u w:val="single"/>
          <w14:textFill>
            <w14:solidFill>
              <w14:schemeClr w14:val="tx1"/>
            </w14:solidFill>
          </w14:textFill>
        </w:rPr>
        <w:t xml:space="preserve">                                           </w:t>
      </w:r>
    </w:p>
    <w:p w14:paraId="47644EE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w:t>
      </w:r>
      <w:r>
        <w:rPr>
          <w:rFonts w:hint="eastAsia"/>
          <w:color w:val="000000" w:themeColor="text1"/>
          <w:highlight w:val="none"/>
          <w:u w:val="single"/>
          <w14:textFill>
            <w14:solidFill>
              <w14:schemeClr w14:val="tx1"/>
            </w14:solidFill>
          </w14:textFill>
        </w:rPr>
        <w:t xml:space="preserve">                                           </w:t>
      </w:r>
    </w:p>
    <w:p w14:paraId="1014947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成立时间：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日</w:t>
      </w:r>
    </w:p>
    <w:p w14:paraId="459A8C7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经营期限：</w:t>
      </w:r>
      <w:r>
        <w:rPr>
          <w:rFonts w:hint="eastAsia"/>
          <w:color w:val="000000" w:themeColor="text1"/>
          <w:highlight w:val="none"/>
          <w:u w:val="single"/>
          <w14:textFill>
            <w14:solidFill>
              <w14:schemeClr w14:val="tx1"/>
            </w14:solidFill>
          </w14:textFill>
        </w:rPr>
        <w:t xml:space="preserve">                                           </w:t>
      </w:r>
    </w:p>
    <w:p w14:paraId="3588878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    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性别：</w:t>
      </w:r>
      <w:r>
        <w:rPr>
          <w:rFonts w:hint="eastAsia"/>
          <w:color w:val="000000" w:themeColor="text1"/>
          <w:highlight w:val="none"/>
          <w:u w:val="single"/>
          <w14:textFill>
            <w14:solidFill>
              <w14:schemeClr w14:val="tx1"/>
            </w14:solidFill>
          </w14:textFill>
        </w:rPr>
        <w:t xml:space="preserve">            </w:t>
      </w:r>
    </w:p>
    <w:p w14:paraId="1EA5F4F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    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职务：</w:t>
      </w:r>
      <w:r>
        <w:rPr>
          <w:rFonts w:hint="eastAsia"/>
          <w:color w:val="000000" w:themeColor="text1"/>
          <w:highlight w:val="none"/>
          <w:u w:val="single"/>
          <w14:textFill>
            <w14:solidFill>
              <w14:schemeClr w14:val="tx1"/>
            </w14:solidFill>
          </w14:textFill>
        </w:rPr>
        <w:t xml:space="preserve">            </w:t>
      </w:r>
    </w:p>
    <w:p w14:paraId="38F72CDF">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w:t>
      </w:r>
      <w:r>
        <w:rPr>
          <w:rFonts w:hint="eastAsia"/>
          <w:color w:val="000000" w:themeColor="text1"/>
          <w:highlight w:val="none"/>
          <w:u w:val="single"/>
          <w14:textFill>
            <w14:solidFill>
              <w14:schemeClr w14:val="tx1"/>
            </w14:solidFill>
          </w14:textFill>
        </w:rPr>
        <w:t xml:space="preserve">          （供应商单位名称）     </w:t>
      </w:r>
      <w:r>
        <w:rPr>
          <w:rFonts w:hint="eastAsia"/>
          <w:color w:val="000000" w:themeColor="text1"/>
          <w:highlight w:val="none"/>
          <w14:textFill>
            <w14:solidFill>
              <w14:schemeClr w14:val="tx1"/>
            </w14:solidFill>
          </w14:textFill>
        </w:rPr>
        <w:t>的法定代表人（单位负责人）</w:t>
      </w:r>
    </w:p>
    <w:p w14:paraId="17E22B1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特此证明。</w:t>
      </w:r>
    </w:p>
    <w:p w14:paraId="70D7F3DE">
      <w:pPr>
        <w:pStyle w:val="5"/>
        <w:keepNext w:val="0"/>
        <w:keepLines w:val="0"/>
        <w:pageBreakBefore w:val="0"/>
        <w:widowControl w:val="0"/>
        <w:kinsoku/>
        <w:wordWrap w:val="0"/>
        <w:overflowPunct/>
        <w:topLinePunct/>
        <w:autoSpaceDE/>
        <w:autoSpaceDN/>
        <w:bidi w:val="0"/>
        <w:adjustRightInd/>
        <w:snapToGrid/>
        <w:ind w:firstLine="2800" w:firstLineChars="10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rFonts w:hint="eastAsia"/>
          <w:color w:val="000000" w:themeColor="text1"/>
          <w:highlight w:val="none"/>
          <w:u w:val="single"/>
          <w14:textFill>
            <w14:solidFill>
              <w14:schemeClr w14:val="tx1"/>
            </w14:solidFill>
          </w14:textFill>
        </w:rPr>
        <w:t xml:space="preserve">             （盖公章）</w:t>
      </w:r>
    </w:p>
    <w:p w14:paraId="4D1D83B1">
      <w:pPr>
        <w:pStyle w:val="5"/>
        <w:keepNext w:val="0"/>
        <w:keepLines w:val="0"/>
        <w:pageBreakBefore w:val="0"/>
        <w:widowControl w:val="0"/>
        <w:kinsoku/>
        <w:wordWrap w:val="0"/>
        <w:overflowPunct/>
        <w:topLinePunct/>
        <w:autoSpaceDE/>
        <w:autoSpaceDN/>
        <w:bidi w:val="0"/>
        <w:adjustRightInd/>
        <w:snapToGrid/>
        <w:ind w:firstLine="2800" w:firstLineChars="10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日</w:t>
      </w:r>
    </w:p>
    <w:p w14:paraId="5BAE492F">
      <w:pPr>
        <w:pStyle w:val="5"/>
        <w:bidi w:val="0"/>
        <w:rPr>
          <w:rFonts w:hint="eastAsia"/>
          <w:color w:val="000000" w:themeColor="text1"/>
          <w:highlight w:val="none"/>
          <w14:textFill>
            <w14:solidFill>
              <w14:schemeClr w14:val="tx1"/>
            </w14:solidFill>
          </w14:textFill>
        </w:rPr>
      </w:pPr>
    </w:p>
    <w:p w14:paraId="1FC595F4">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附：法定代表人（单位负责人）身份证正反面复印件或扫描件</w:t>
      </w:r>
    </w:p>
    <w:p w14:paraId="4A171DF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92F851A">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格式2、开标一览表</w:t>
      </w:r>
    </w:p>
    <w:p w14:paraId="7B182D74">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货币单位：</w:t>
      </w:r>
      <w:r>
        <w:rPr>
          <w:rFonts w:hint="eastAsia"/>
          <w:color w:val="000000" w:themeColor="text1"/>
          <w:highlight w:val="none"/>
          <w:u w:val="single"/>
          <w14:textFill>
            <w14:solidFill>
              <w14:schemeClr w14:val="tx1"/>
            </w14:solidFill>
          </w14:textFill>
        </w:rPr>
        <w:t xml:space="preserve"> 元 </w:t>
      </w:r>
    </w:p>
    <w:tbl>
      <w:tblPr>
        <w:tblStyle w:val="25"/>
        <w:tblW w:w="0" w:type="auto"/>
        <w:jc w:val="center"/>
        <w:tblLayout w:type="fixed"/>
        <w:tblCellMar>
          <w:top w:w="0" w:type="dxa"/>
          <w:left w:w="108" w:type="dxa"/>
          <w:bottom w:w="0" w:type="dxa"/>
          <w:right w:w="108" w:type="dxa"/>
        </w:tblCellMar>
      </w:tblPr>
      <w:tblGrid>
        <w:gridCol w:w="1803"/>
        <w:gridCol w:w="7236"/>
      </w:tblGrid>
      <w:tr w14:paraId="3973190D">
        <w:tblPrEx>
          <w:tblCellMar>
            <w:top w:w="0" w:type="dxa"/>
            <w:left w:w="108" w:type="dxa"/>
            <w:bottom w:w="0" w:type="dxa"/>
            <w:right w:w="108" w:type="dxa"/>
          </w:tblCellMar>
        </w:tblPrEx>
        <w:trPr>
          <w:trHeight w:val="1457"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FDC992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7A79EECF">
            <w:pPr>
              <w:bidi w:val="0"/>
              <w:rPr>
                <w:rFonts w:hint="eastAsia"/>
                <w:color w:val="000000" w:themeColor="text1"/>
                <w:highlight w:val="none"/>
                <w14:textFill>
                  <w14:solidFill>
                    <w14:schemeClr w14:val="tx1"/>
                  </w14:solidFill>
                </w14:textFill>
              </w:rPr>
            </w:pPr>
          </w:p>
        </w:tc>
      </w:tr>
      <w:tr w14:paraId="1AC9CDD8">
        <w:tblPrEx>
          <w:tblCellMar>
            <w:top w:w="0" w:type="dxa"/>
            <w:left w:w="108" w:type="dxa"/>
            <w:bottom w:w="0" w:type="dxa"/>
            <w:right w:w="108" w:type="dxa"/>
          </w:tblCellMar>
        </w:tblPrEx>
        <w:trPr>
          <w:trHeight w:val="169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DD841D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019874DC">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大写：</w:t>
            </w:r>
            <w:r>
              <w:rPr>
                <w:rFonts w:hint="eastAsia"/>
                <w:color w:val="000000" w:themeColor="text1"/>
                <w:highlight w:val="none"/>
                <w:u w:val="single"/>
                <w14:textFill>
                  <w14:solidFill>
                    <w14:schemeClr w14:val="tx1"/>
                  </w14:solidFill>
                </w14:textFill>
              </w:rPr>
              <w:t xml:space="preserve">     </w:t>
            </w:r>
          </w:p>
          <w:p w14:paraId="3128C26B">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小写</w:t>
            </w:r>
            <w:r>
              <w:rPr>
                <w:rFonts w:hint="eastAsia"/>
                <w:color w:val="000000" w:themeColor="text1"/>
                <w:highlight w:val="non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p>
        </w:tc>
      </w:tr>
      <w:tr w14:paraId="6442C2FD">
        <w:tblPrEx>
          <w:tblCellMar>
            <w:top w:w="0" w:type="dxa"/>
            <w:left w:w="108" w:type="dxa"/>
            <w:bottom w:w="0" w:type="dxa"/>
            <w:right w:w="108" w:type="dxa"/>
          </w:tblCellMar>
        </w:tblPrEx>
        <w:trPr>
          <w:trHeight w:val="1193"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9C3D77C">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期</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288B6B04">
            <w:pPr>
              <w:bidi w:val="0"/>
              <w:rPr>
                <w:rFonts w:hint="eastAsia"/>
                <w:color w:val="000000" w:themeColor="text1"/>
                <w:highlight w:val="none"/>
                <w14:textFill>
                  <w14:solidFill>
                    <w14:schemeClr w14:val="tx1"/>
                  </w14:solidFill>
                </w14:textFill>
              </w:rPr>
            </w:pPr>
          </w:p>
        </w:tc>
      </w:tr>
      <w:tr w14:paraId="3A21D06D">
        <w:tblPrEx>
          <w:tblCellMar>
            <w:top w:w="0" w:type="dxa"/>
            <w:left w:w="108" w:type="dxa"/>
            <w:bottom w:w="0" w:type="dxa"/>
            <w:right w:w="108" w:type="dxa"/>
          </w:tblCellMar>
        </w:tblPrEx>
        <w:trPr>
          <w:trHeight w:val="140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4E57CC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571AF166">
            <w:pPr>
              <w:bidi w:val="0"/>
              <w:rPr>
                <w:rFonts w:hint="eastAsia"/>
                <w:color w:val="000000" w:themeColor="text1"/>
                <w:highlight w:val="none"/>
                <w14:textFill>
                  <w14:solidFill>
                    <w14:schemeClr w14:val="tx1"/>
                  </w14:solidFill>
                </w14:textFill>
              </w:rPr>
            </w:pPr>
          </w:p>
        </w:tc>
      </w:tr>
    </w:tbl>
    <w:p w14:paraId="52E7EFD5">
      <w:pPr>
        <w:pStyle w:val="5"/>
        <w:bidi w:val="0"/>
        <w:rPr>
          <w:rFonts w:hint="eastAsia"/>
          <w:color w:val="000000" w:themeColor="text1"/>
          <w:highlight w:val="none"/>
          <w14:textFill>
            <w14:solidFill>
              <w14:schemeClr w14:val="tx1"/>
            </w14:solidFill>
          </w14:textFill>
        </w:rPr>
      </w:pPr>
    </w:p>
    <w:p w14:paraId="4203997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w:t>
      </w:r>
      <w:r>
        <w:rPr>
          <w:rFonts w:hint="eastAsia"/>
          <w:color w:val="000000" w:themeColor="text1"/>
          <w:highlight w:val="none"/>
          <w:u w:val="single"/>
          <w14:textFill>
            <w14:solidFill>
              <w14:schemeClr w14:val="tx1"/>
            </w14:solidFill>
          </w14:textFill>
        </w:rPr>
        <w:t xml:space="preserve">                         （加盖供应商公章）</w:t>
      </w:r>
    </w:p>
    <w:p w14:paraId="534C0A9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法定代表人（单位负责人）或委托代理人（签字或盖章）：</w:t>
      </w:r>
      <w:r>
        <w:rPr>
          <w:rFonts w:hint="eastAsia"/>
          <w:color w:val="000000" w:themeColor="text1"/>
          <w:highlight w:val="none"/>
          <w:u w:val="single"/>
          <w14:textFill>
            <w14:solidFill>
              <w14:schemeClr w14:val="tx1"/>
            </w14:solidFill>
          </w14:textFill>
        </w:rPr>
        <w:t xml:space="preserve">          </w:t>
      </w:r>
    </w:p>
    <w:p w14:paraId="118CF32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5FCF1A7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3723031">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zh-CN" w:eastAsia="zh-CN"/>
          <w14:textFill>
            <w14:solidFill>
              <w14:schemeClr w14:val="tx1"/>
            </w14:solidFill>
          </w14:textFill>
        </w:rPr>
        <w:t>、分项报价表</w:t>
      </w:r>
    </w:p>
    <w:p w14:paraId="452FDF46">
      <w:pPr>
        <w:pStyle w:val="5"/>
        <w:bidi w:val="0"/>
        <w:ind w:left="0" w:leftChars="0" w:firstLine="0" w:firstLineChars="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（包：</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货币单位：</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元</w:t>
      </w:r>
      <w:r>
        <w:rPr>
          <w:rFonts w:hint="eastAsia"/>
          <w:color w:val="000000" w:themeColor="text1"/>
          <w:highlight w:val="none"/>
          <w:u w:val="single"/>
          <w:lang w:val="en-US" w:eastAsia="zh-CN"/>
          <w14:textFill>
            <w14:solidFill>
              <w14:schemeClr w14:val="tx1"/>
            </w14:solidFill>
          </w14:textFill>
        </w:rPr>
        <w:t xml:space="preserve"> </w:t>
      </w:r>
    </w:p>
    <w:tbl>
      <w:tblPr>
        <w:tblStyle w:val="25"/>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73"/>
        <w:gridCol w:w="1626"/>
        <w:gridCol w:w="1560"/>
        <w:gridCol w:w="2294"/>
      </w:tblGrid>
      <w:tr w14:paraId="5423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1" w:type="dxa"/>
          </w:tcPr>
          <w:p w14:paraId="6300532F">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873" w:type="dxa"/>
          </w:tcPr>
          <w:p w14:paraId="4446442C">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项目内容</w:t>
            </w:r>
          </w:p>
        </w:tc>
        <w:tc>
          <w:tcPr>
            <w:tcW w:w="1626" w:type="dxa"/>
          </w:tcPr>
          <w:p w14:paraId="644454E6">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分项单价</w:t>
            </w:r>
          </w:p>
        </w:tc>
        <w:tc>
          <w:tcPr>
            <w:tcW w:w="1560" w:type="dxa"/>
          </w:tcPr>
          <w:p w14:paraId="32372D98">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分项合计</w:t>
            </w:r>
          </w:p>
        </w:tc>
        <w:tc>
          <w:tcPr>
            <w:tcW w:w="2294" w:type="dxa"/>
          </w:tcPr>
          <w:p w14:paraId="3BB06A4A">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4E4E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tcPr>
          <w:p w14:paraId="23D1655F">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3873" w:type="dxa"/>
          </w:tcPr>
          <w:p w14:paraId="11456328">
            <w:pPr>
              <w:bidi w:val="0"/>
              <w:rPr>
                <w:rFonts w:hint="eastAsia"/>
                <w:color w:val="000000" w:themeColor="text1"/>
                <w:highlight w:val="none"/>
                <w14:textFill>
                  <w14:solidFill>
                    <w14:schemeClr w14:val="tx1"/>
                  </w14:solidFill>
                </w14:textFill>
              </w:rPr>
            </w:pPr>
          </w:p>
        </w:tc>
        <w:tc>
          <w:tcPr>
            <w:tcW w:w="1626" w:type="dxa"/>
          </w:tcPr>
          <w:p w14:paraId="3D9CB8B7">
            <w:pPr>
              <w:bidi w:val="0"/>
              <w:rPr>
                <w:rFonts w:hint="eastAsia"/>
                <w:color w:val="000000" w:themeColor="text1"/>
                <w:highlight w:val="none"/>
                <w14:textFill>
                  <w14:solidFill>
                    <w14:schemeClr w14:val="tx1"/>
                  </w14:solidFill>
                </w14:textFill>
              </w:rPr>
            </w:pPr>
          </w:p>
        </w:tc>
        <w:tc>
          <w:tcPr>
            <w:tcW w:w="1560" w:type="dxa"/>
          </w:tcPr>
          <w:p w14:paraId="7BEB7F0C">
            <w:pPr>
              <w:bidi w:val="0"/>
              <w:rPr>
                <w:rFonts w:hint="eastAsia"/>
                <w:color w:val="000000" w:themeColor="text1"/>
                <w:highlight w:val="none"/>
                <w14:textFill>
                  <w14:solidFill>
                    <w14:schemeClr w14:val="tx1"/>
                  </w14:solidFill>
                </w14:textFill>
              </w:rPr>
            </w:pPr>
          </w:p>
        </w:tc>
        <w:tc>
          <w:tcPr>
            <w:tcW w:w="2294" w:type="dxa"/>
          </w:tcPr>
          <w:p w14:paraId="19BAA8BB">
            <w:pPr>
              <w:bidi w:val="0"/>
              <w:rPr>
                <w:rFonts w:hint="eastAsia"/>
                <w:color w:val="000000" w:themeColor="text1"/>
                <w:highlight w:val="none"/>
                <w14:textFill>
                  <w14:solidFill>
                    <w14:schemeClr w14:val="tx1"/>
                  </w14:solidFill>
                </w14:textFill>
              </w:rPr>
            </w:pPr>
          </w:p>
        </w:tc>
      </w:tr>
      <w:tr w14:paraId="144E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tcPr>
          <w:p w14:paraId="2E6BC642">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873" w:type="dxa"/>
          </w:tcPr>
          <w:p w14:paraId="760856E2">
            <w:pPr>
              <w:bidi w:val="0"/>
              <w:rPr>
                <w:rFonts w:hint="eastAsia"/>
                <w:color w:val="000000" w:themeColor="text1"/>
                <w:highlight w:val="none"/>
                <w14:textFill>
                  <w14:solidFill>
                    <w14:schemeClr w14:val="tx1"/>
                  </w14:solidFill>
                </w14:textFill>
              </w:rPr>
            </w:pPr>
          </w:p>
        </w:tc>
        <w:tc>
          <w:tcPr>
            <w:tcW w:w="1626" w:type="dxa"/>
          </w:tcPr>
          <w:p w14:paraId="102B0387">
            <w:pPr>
              <w:bidi w:val="0"/>
              <w:rPr>
                <w:rFonts w:hint="eastAsia"/>
                <w:color w:val="000000" w:themeColor="text1"/>
                <w:highlight w:val="none"/>
                <w14:textFill>
                  <w14:solidFill>
                    <w14:schemeClr w14:val="tx1"/>
                  </w14:solidFill>
                </w14:textFill>
              </w:rPr>
            </w:pPr>
          </w:p>
        </w:tc>
        <w:tc>
          <w:tcPr>
            <w:tcW w:w="1560" w:type="dxa"/>
          </w:tcPr>
          <w:p w14:paraId="30C4A23C">
            <w:pPr>
              <w:bidi w:val="0"/>
              <w:rPr>
                <w:rFonts w:hint="eastAsia"/>
                <w:color w:val="000000" w:themeColor="text1"/>
                <w:highlight w:val="none"/>
                <w14:textFill>
                  <w14:solidFill>
                    <w14:schemeClr w14:val="tx1"/>
                  </w14:solidFill>
                </w14:textFill>
              </w:rPr>
            </w:pPr>
          </w:p>
        </w:tc>
        <w:tc>
          <w:tcPr>
            <w:tcW w:w="2294" w:type="dxa"/>
          </w:tcPr>
          <w:p w14:paraId="11159F47">
            <w:pPr>
              <w:bidi w:val="0"/>
              <w:rPr>
                <w:rFonts w:hint="eastAsia"/>
                <w:color w:val="000000" w:themeColor="text1"/>
                <w:highlight w:val="none"/>
                <w14:textFill>
                  <w14:solidFill>
                    <w14:schemeClr w14:val="tx1"/>
                  </w14:solidFill>
                </w14:textFill>
              </w:rPr>
            </w:pPr>
          </w:p>
        </w:tc>
      </w:tr>
      <w:tr w14:paraId="122E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tcPr>
          <w:p w14:paraId="765F3D92">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873" w:type="dxa"/>
          </w:tcPr>
          <w:p w14:paraId="16B1205C">
            <w:pPr>
              <w:bidi w:val="0"/>
              <w:rPr>
                <w:rFonts w:hint="eastAsia"/>
                <w:color w:val="000000" w:themeColor="text1"/>
                <w:highlight w:val="none"/>
                <w14:textFill>
                  <w14:solidFill>
                    <w14:schemeClr w14:val="tx1"/>
                  </w14:solidFill>
                </w14:textFill>
              </w:rPr>
            </w:pPr>
          </w:p>
        </w:tc>
        <w:tc>
          <w:tcPr>
            <w:tcW w:w="1626" w:type="dxa"/>
          </w:tcPr>
          <w:p w14:paraId="3D984E0A">
            <w:pPr>
              <w:bidi w:val="0"/>
              <w:rPr>
                <w:rFonts w:hint="eastAsia"/>
                <w:color w:val="000000" w:themeColor="text1"/>
                <w:highlight w:val="none"/>
                <w14:textFill>
                  <w14:solidFill>
                    <w14:schemeClr w14:val="tx1"/>
                  </w14:solidFill>
                </w14:textFill>
              </w:rPr>
            </w:pPr>
          </w:p>
        </w:tc>
        <w:tc>
          <w:tcPr>
            <w:tcW w:w="1560" w:type="dxa"/>
          </w:tcPr>
          <w:p w14:paraId="1E58C94B">
            <w:pPr>
              <w:bidi w:val="0"/>
              <w:rPr>
                <w:rFonts w:hint="eastAsia"/>
                <w:color w:val="000000" w:themeColor="text1"/>
                <w:highlight w:val="none"/>
                <w14:textFill>
                  <w14:solidFill>
                    <w14:schemeClr w14:val="tx1"/>
                  </w14:solidFill>
                </w14:textFill>
              </w:rPr>
            </w:pPr>
          </w:p>
        </w:tc>
        <w:tc>
          <w:tcPr>
            <w:tcW w:w="2294" w:type="dxa"/>
          </w:tcPr>
          <w:p w14:paraId="5379C16B">
            <w:pPr>
              <w:bidi w:val="0"/>
              <w:rPr>
                <w:rFonts w:hint="eastAsia"/>
                <w:color w:val="000000" w:themeColor="text1"/>
                <w:highlight w:val="none"/>
                <w14:textFill>
                  <w14:solidFill>
                    <w14:schemeClr w14:val="tx1"/>
                  </w14:solidFill>
                </w14:textFill>
              </w:rPr>
            </w:pPr>
          </w:p>
        </w:tc>
      </w:tr>
      <w:tr w14:paraId="095E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tcPr>
          <w:p w14:paraId="7CC7CCA6">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3873" w:type="dxa"/>
          </w:tcPr>
          <w:p w14:paraId="3AF1482E">
            <w:pPr>
              <w:bidi w:val="0"/>
              <w:rPr>
                <w:rFonts w:hint="eastAsia"/>
                <w:color w:val="000000" w:themeColor="text1"/>
                <w:highlight w:val="none"/>
                <w14:textFill>
                  <w14:solidFill>
                    <w14:schemeClr w14:val="tx1"/>
                  </w14:solidFill>
                </w14:textFill>
              </w:rPr>
            </w:pPr>
          </w:p>
        </w:tc>
        <w:tc>
          <w:tcPr>
            <w:tcW w:w="1626" w:type="dxa"/>
          </w:tcPr>
          <w:p w14:paraId="635F4C06">
            <w:pPr>
              <w:bidi w:val="0"/>
              <w:rPr>
                <w:rFonts w:hint="eastAsia"/>
                <w:color w:val="000000" w:themeColor="text1"/>
                <w:highlight w:val="none"/>
                <w14:textFill>
                  <w14:solidFill>
                    <w14:schemeClr w14:val="tx1"/>
                  </w14:solidFill>
                </w14:textFill>
              </w:rPr>
            </w:pPr>
          </w:p>
        </w:tc>
        <w:tc>
          <w:tcPr>
            <w:tcW w:w="1560" w:type="dxa"/>
          </w:tcPr>
          <w:p w14:paraId="23F781FE">
            <w:pPr>
              <w:bidi w:val="0"/>
              <w:rPr>
                <w:rFonts w:hint="eastAsia"/>
                <w:color w:val="000000" w:themeColor="text1"/>
                <w:highlight w:val="none"/>
                <w14:textFill>
                  <w14:solidFill>
                    <w14:schemeClr w14:val="tx1"/>
                  </w14:solidFill>
                </w14:textFill>
              </w:rPr>
            </w:pPr>
          </w:p>
        </w:tc>
        <w:tc>
          <w:tcPr>
            <w:tcW w:w="2294" w:type="dxa"/>
          </w:tcPr>
          <w:p w14:paraId="66D9240F">
            <w:pPr>
              <w:bidi w:val="0"/>
              <w:rPr>
                <w:rFonts w:hint="eastAsia"/>
                <w:color w:val="000000" w:themeColor="text1"/>
                <w:highlight w:val="none"/>
                <w14:textFill>
                  <w14:solidFill>
                    <w14:schemeClr w14:val="tx1"/>
                  </w14:solidFill>
                </w14:textFill>
              </w:rPr>
            </w:pPr>
          </w:p>
        </w:tc>
      </w:tr>
      <w:tr w14:paraId="154B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01" w:type="dxa"/>
          </w:tcPr>
          <w:p w14:paraId="15C548A4">
            <w:pPr>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3873" w:type="dxa"/>
          </w:tcPr>
          <w:p w14:paraId="01854C55">
            <w:pPr>
              <w:bidi w:val="0"/>
              <w:rPr>
                <w:rFonts w:hint="eastAsia"/>
                <w:color w:val="000000" w:themeColor="text1"/>
                <w:highlight w:val="none"/>
                <w14:textFill>
                  <w14:solidFill>
                    <w14:schemeClr w14:val="tx1"/>
                  </w14:solidFill>
                </w14:textFill>
              </w:rPr>
            </w:pPr>
          </w:p>
        </w:tc>
        <w:tc>
          <w:tcPr>
            <w:tcW w:w="1626" w:type="dxa"/>
          </w:tcPr>
          <w:p w14:paraId="7F5A9C08">
            <w:pPr>
              <w:bidi w:val="0"/>
              <w:rPr>
                <w:rFonts w:hint="eastAsia"/>
                <w:color w:val="000000" w:themeColor="text1"/>
                <w:highlight w:val="none"/>
                <w14:textFill>
                  <w14:solidFill>
                    <w14:schemeClr w14:val="tx1"/>
                  </w14:solidFill>
                </w14:textFill>
              </w:rPr>
            </w:pPr>
          </w:p>
        </w:tc>
        <w:tc>
          <w:tcPr>
            <w:tcW w:w="1560" w:type="dxa"/>
          </w:tcPr>
          <w:p w14:paraId="1E0620BB">
            <w:pPr>
              <w:bidi w:val="0"/>
              <w:rPr>
                <w:rFonts w:hint="eastAsia"/>
                <w:color w:val="000000" w:themeColor="text1"/>
                <w:highlight w:val="none"/>
                <w14:textFill>
                  <w14:solidFill>
                    <w14:schemeClr w14:val="tx1"/>
                  </w14:solidFill>
                </w14:textFill>
              </w:rPr>
            </w:pPr>
          </w:p>
        </w:tc>
        <w:tc>
          <w:tcPr>
            <w:tcW w:w="2294" w:type="dxa"/>
          </w:tcPr>
          <w:p w14:paraId="66D438AA">
            <w:pPr>
              <w:bidi w:val="0"/>
              <w:rPr>
                <w:rFonts w:hint="eastAsia"/>
                <w:color w:val="000000" w:themeColor="text1"/>
                <w:highlight w:val="none"/>
                <w14:textFill>
                  <w14:solidFill>
                    <w14:schemeClr w14:val="tx1"/>
                  </w14:solidFill>
                </w14:textFill>
              </w:rPr>
            </w:pPr>
          </w:p>
        </w:tc>
      </w:tr>
      <w:tr w14:paraId="0046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354" w:type="dxa"/>
            <w:gridSpan w:val="5"/>
          </w:tcPr>
          <w:p w14:paraId="6527D6D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投标总价：大写           ￥：</w:t>
            </w:r>
          </w:p>
        </w:tc>
      </w:tr>
    </w:tbl>
    <w:p w14:paraId="12FD611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投标总价与开标一览表及投标函一致</w:t>
      </w:r>
    </w:p>
    <w:p w14:paraId="5B0D99E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4220B86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1、采购清单全费用报价表中所填入的单价和合价，均包括人工费、材料费、运输费、交通费、食宿费、差旅费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管理费、利润、税金以及采用固定价格的项目所测算的风险金等实际现场完成本项目的全部费用。</w:t>
      </w:r>
    </w:p>
    <w:p w14:paraId="163B88A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2.采购清单全费用报价表中的每一项均应填写单价和合价，对没有填写单价和合价的项目费用，视为已包括在采购清单的其他单价和合价之中。</w:t>
      </w:r>
    </w:p>
    <w:p w14:paraId="204B0313">
      <w:pPr>
        <w:pStyle w:val="5"/>
        <w:bidi w:val="0"/>
        <w:rPr>
          <w:rFonts w:hint="eastAsia"/>
          <w:color w:val="000000" w:themeColor="text1"/>
          <w:highlight w:val="none"/>
          <w14:textFill>
            <w14:solidFill>
              <w14:schemeClr w14:val="tx1"/>
            </w14:solidFill>
          </w14:textFill>
        </w:rPr>
      </w:pPr>
    </w:p>
    <w:p w14:paraId="039DD7A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w:t>
      </w:r>
      <w:r>
        <w:rPr>
          <w:rFonts w:hint="eastAsia"/>
          <w:color w:val="000000" w:themeColor="text1"/>
          <w:highlight w:val="none"/>
          <w:u w:val="single"/>
          <w14:textFill>
            <w14:solidFill>
              <w14:schemeClr w14:val="tx1"/>
            </w14:solidFill>
          </w14:textFill>
        </w:rPr>
        <w:t xml:space="preserve">                         （加盖供应商公章）</w:t>
      </w:r>
    </w:p>
    <w:p w14:paraId="4DB842F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法定代表人（单位负责人）或委托代理人（签字或盖章）：</w:t>
      </w:r>
      <w:r>
        <w:rPr>
          <w:rFonts w:hint="eastAsia"/>
          <w:color w:val="000000" w:themeColor="text1"/>
          <w:highlight w:val="none"/>
          <w:u w:val="single"/>
          <w14:textFill>
            <w14:solidFill>
              <w14:schemeClr w14:val="tx1"/>
            </w14:solidFill>
          </w14:textFill>
        </w:rPr>
        <w:t xml:space="preserve">          </w:t>
      </w:r>
    </w:p>
    <w:p w14:paraId="7C82831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77E6A58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88E8D3A">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zh-CN" w:eastAsia="zh-CN"/>
          <w14:textFill>
            <w14:solidFill>
              <w14:schemeClr w14:val="tx1"/>
            </w14:solidFill>
          </w14:textFill>
        </w:rPr>
        <w:t>、采购需求响应（格式自拟）</w:t>
      </w:r>
    </w:p>
    <w:p w14:paraId="3C95BE02">
      <w:pPr>
        <w:pStyle w:val="5"/>
        <w:bidi w:val="0"/>
        <w:rPr>
          <w:rFonts w:hint="eastAsia"/>
          <w:color w:val="000000" w:themeColor="text1"/>
          <w:highlight w:val="none"/>
          <w14:textFill>
            <w14:solidFill>
              <w14:schemeClr w14:val="tx1"/>
            </w14:solidFill>
          </w14:textFill>
        </w:rPr>
      </w:pPr>
    </w:p>
    <w:p w14:paraId="4E7BC125">
      <w:pPr>
        <w:pStyle w:val="5"/>
        <w:bidi w:val="0"/>
        <w:rPr>
          <w:rFonts w:hint="eastAsia"/>
          <w:color w:val="000000" w:themeColor="text1"/>
          <w:highlight w:val="none"/>
          <w14:textFill>
            <w14:solidFill>
              <w14:schemeClr w14:val="tx1"/>
            </w14:solidFill>
          </w14:textFill>
        </w:rPr>
      </w:pPr>
    </w:p>
    <w:p w14:paraId="0C52E949">
      <w:pPr>
        <w:pStyle w:val="5"/>
        <w:bidi w:val="0"/>
        <w:rPr>
          <w:rFonts w:hint="eastAsia"/>
          <w:color w:val="000000" w:themeColor="text1"/>
          <w:highlight w:val="none"/>
          <w14:textFill>
            <w14:solidFill>
              <w14:schemeClr w14:val="tx1"/>
            </w14:solidFill>
          </w14:textFill>
        </w:rPr>
      </w:pPr>
    </w:p>
    <w:p w14:paraId="6683A12C">
      <w:pPr>
        <w:pStyle w:val="5"/>
        <w:bidi w:val="0"/>
        <w:rPr>
          <w:rFonts w:hint="eastAsia"/>
          <w:color w:val="000000" w:themeColor="text1"/>
          <w:highlight w:val="none"/>
          <w14:textFill>
            <w14:solidFill>
              <w14:schemeClr w14:val="tx1"/>
            </w14:solidFill>
          </w14:textFill>
        </w:rPr>
      </w:pPr>
    </w:p>
    <w:p w14:paraId="0448A480">
      <w:pPr>
        <w:pStyle w:val="5"/>
        <w:bidi w:val="0"/>
        <w:rPr>
          <w:rFonts w:hint="eastAsia"/>
          <w:color w:val="000000" w:themeColor="text1"/>
          <w:highlight w:val="none"/>
          <w14:textFill>
            <w14:solidFill>
              <w14:schemeClr w14:val="tx1"/>
            </w14:solidFill>
          </w14:textFill>
        </w:rPr>
      </w:pPr>
    </w:p>
    <w:p w14:paraId="0B474EFD">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zh-CN" w:eastAsia="zh-CN"/>
          <w14:textFill>
            <w14:solidFill>
              <w14:schemeClr w14:val="tx1"/>
            </w14:solidFill>
          </w14:textFill>
        </w:rPr>
        <w:t>、服务方案（格式自拟）</w:t>
      </w:r>
    </w:p>
    <w:p w14:paraId="6EED868E">
      <w:pPr>
        <w:pStyle w:val="5"/>
        <w:bidi w:val="0"/>
        <w:rPr>
          <w:rFonts w:hint="eastAsia"/>
          <w:color w:val="000000" w:themeColor="text1"/>
          <w:highlight w:val="none"/>
          <w14:textFill>
            <w14:solidFill>
              <w14:schemeClr w14:val="tx1"/>
            </w14:solidFill>
          </w14:textFill>
        </w:rPr>
      </w:pPr>
    </w:p>
    <w:p w14:paraId="24D4A40F">
      <w:pPr>
        <w:pStyle w:val="5"/>
        <w:bidi w:val="0"/>
        <w:rPr>
          <w:rFonts w:hint="eastAsia"/>
          <w:color w:val="000000" w:themeColor="text1"/>
          <w:highlight w:val="none"/>
          <w14:textFill>
            <w14:solidFill>
              <w14:schemeClr w14:val="tx1"/>
            </w14:solidFill>
          </w14:textFill>
        </w:rPr>
      </w:pPr>
    </w:p>
    <w:p w14:paraId="7FCB10C1">
      <w:pPr>
        <w:pStyle w:val="5"/>
        <w:bidi w:val="0"/>
        <w:rPr>
          <w:rFonts w:hint="eastAsia"/>
          <w:color w:val="000000" w:themeColor="text1"/>
          <w:highlight w:val="none"/>
          <w14:textFill>
            <w14:solidFill>
              <w14:schemeClr w14:val="tx1"/>
            </w14:solidFill>
          </w14:textFill>
        </w:rPr>
      </w:pPr>
    </w:p>
    <w:p w14:paraId="41BDE049">
      <w:pPr>
        <w:pStyle w:val="5"/>
        <w:bidi w:val="0"/>
        <w:rPr>
          <w:rFonts w:hint="eastAsia"/>
          <w:color w:val="000000" w:themeColor="text1"/>
          <w:highlight w:val="none"/>
          <w14:textFill>
            <w14:solidFill>
              <w14:schemeClr w14:val="tx1"/>
            </w14:solidFill>
          </w14:textFill>
        </w:rPr>
      </w:pPr>
    </w:p>
    <w:p w14:paraId="3754E40C">
      <w:pPr>
        <w:pStyle w:val="5"/>
        <w:bidi w:val="0"/>
        <w:rPr>
          <w:rFonts w:hint="eastAsia"/>
          <w:color w:val="000000" w:themeColor="text1"/>
          <w:highlight w:val="none"/>
          <w14:textFill>
            <w14:solidFill>
              <w14:schemeClr w14:val="tx1"/>
            </w14:solidFill>
          </w14:textFill>
        </w:rPr>
      </w:pPr>
    </w:p>
    <w:p w14:paraId="6355140B">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val="zh-CN" w:eastAsia="zh-CN"/>
          <w14:textFill>
            <w14:solidFill>
              <w14:schemeClr w14:val="tx1"/>
            </w14:solidFill>
          </w14:textFill>
        </w:rPr>
        <w:t>、资格审查资料（格式自拟，包括营业执照）</w:t>
      </w:r>
      <w:bookmarkStart w:id="544" w:name="_Toc27216"/>
      <w:bookmarkStart w:id="545" w:name="_Toc9949"/>
      <w:bookmarkStart w:id="546" w:name="_Toc14093"/>
      <w:bookmarkStart w:id="547" w:name="_Toc3422"/>
    </w:p>
    <w:p w14:paraId="435926DA">
      <w:pPr>
        <w:pStyle w:val="5"/>
        <w:bidi w:val="0"/>
        <w:rPr>
          <w:rFonts w:hint="eastAsia"/>
          <w:color w:val="000000" w:themeColor="text1"/>
          <w:highlight w:val="none"/>
          <w14:textFill>
            <w14:solidFill>
              <w14:schemeClr w14:val="tx1"/>
            </w14:solidFill>
          </w14:textFill>
        </w:rPr>
      </w:pPr>
    </w:p>
    <w:p w14:paraId="4AEA79A1">
      <w:pPr>
        <w:pStyle w:val="5"/>
        <w:bidi w:val="0"/>
        <w:rPr>
          <w:rFonts w:hint="eastAsia"/>
          <w:color w:val="000000" w:themeColor="text1"/>
          <w:highlight w:val="none"/>
          <w14:textFill>
            <w14:solidFill>
              <w14:schemeClr w14:val="tx1"/>
            </w14:solidFill>
          </w14:textFill>
        </w:rPr>
      </w:pPr>
    </w:p>
    <w:p w14:paraId="1B32EAF5">
      <w:pPr>
        <w:pStyle w:val="5"/>
        <w:bidi w:val="0"/>
        <w:rPr>
          <w:rFonts w:hint="eastAsia"/>
          <w:color w:val="000000" w:themeColor="text1"/>
          <w:highlight w:val="none"/>
          <w14:textFill>
            <w14:solidFill>
              <w14:schemeClr w14:val="tx1"/>
            </w14:solidFill>
          </w14:textFill>
        </w:rPr>
      </w:pPr>
    </w:p>
    <w:p w14:paraId="29ECDEB2">
      <w:pPr>
        <w:pStyle w:val="5"/>
        <w:bidi w:val="0"/>
        <w:rPr>
          <w:rFonts w:hint="eastAsia"/>
          <w:color w:val="000000" w:themeColor="text1"/>
          <w:highlight w:val="none"/>
          <w14:textFill>
            <w14:solidFill>
              <w14:schemeClr w14:val="tx1"/>
            </w14:solidFill>
          </w14:textFill>
        </w:rPr>
      </w:pPr>
    </w:p>
    <w:p w14:paraId="220EF5EB">
      <w:pPr>
        <w:pStyle w:val="5"/>
        <w:bidi w:val="0"/>
        <w:rPr>
          <w:rFonts w:hint="eastAsia"/>
          <w:color w:val="000000" w:themeColor="text1"/>
          <w:highlight w:val="none"/>
          <w14:textFill>
            <w14:solidFill>
              <w14:schemeClr w14:val="tx1"/>
            </w14:solidFill>
          </w14:textFill>
        </w:rPr>
      </w:pPr>
    </w:p>
    <w:p w14:paraId="41325637">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val="zh-CN" w:eastAsia="zh-CN"/>
          <w14:textFill>
            <w14:solidFill>
              <w14:schemeClr w14:val="tx1"/>
            </w14:solidFill>
          </w14:textFill>
        </w:rPr>
        <w:t>、信誉要求</w:t>
      </w:r>
    </w:p>
    <w:p w14:paraId="311F56A6">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br w:type="page"/>
      </w:r>
    </w:p>
    <w:p w14:paraId="478CC28C">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val="zh-CN" w:eastAsia="zh-CN"/>
          <w14:textFill>
            <w14:solidFill>
              <w14:schemeClr w14:val="tx1"/>
            </w14:solidFill>
          </w14:textFill>
        </w:rPr>
        <w:t>、供应商无不良信用记录情形承诺</w:t>
      </w:r>
    </w:p>
    <w:p w14:paraId="24E503F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致：xxxxx（采购人）</w:t>
      </w:r>
    </w:p>
    <w:p w14:paraId="537F101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我公司</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（供应商）承诺无以下行为；</w:t>
      </w:r>
    </w:p>
    <w:p w14:paraId="6942D1E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1、供应商被人民法院列入失信被执行人的；</w:t>
      </w:r>
    </w:p>
    <w:p w14:paraId="75218C6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2、供应商或其法定代表人（单位负责人）或拟派项目经理（项目负责人）被人民检察院列入行贿犯罪档案的；</w:t>
      </w:r>
    </w:p>
    <w:p w14:paraId="4638003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3、供应商被市场监督管理部门列入企业经营异常名录的；</w:t>
      </w:r>
    </w:p>
    <w:p w14:paraId="4310027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4、供应商被税务部门列入重大税收违法案件当事人名单的；</w:t>
      </w:r>
    </w:p>
    <w:p w14:paraId="0B7F5D0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5、供应商被政府采购监管部门列入政府采购严重违法失信行为记录名单的。</w:t>
      </w:r>
    </w:p>
    <w:p w14:paraId="43A427D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w:t>
      </w:r>
      <w:r>
        <w:rPr>
          <w:rFonts w:hint="eastAsia"/>
          <w:color w:val="000000" w:themeColor="text1"/>
          <w:highlight w:val="none"/>
          <w:u w:val="single"/>
          <w14:textFill>
            <w14:solidFill>
              <w14:schemeClr w14:val="tx1"/>
            </w14:solidFill>
          </w14:textFill>
        </w:rPr>
        <w:t xml:space="preserve">                         （加盖供应商公章）</w:t>
      </w:r>
    </w:p>
    <w:p w14:paraId="07B0286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法定代表人（单位负责人）或委托代理人（签字或盖章）：</w:t>
      </w:r>
      <w:r>
        <w:rPr>
          <w:rFonts w:hint="eastAsia"/>
          <w:color w:val="000000" w:themeColor="text1"/>
          <w:highlight w:val="none"/>
          <w:u w:val="single"/>
          <w14:textFill>
            <w14:solidFill>
              <w14:schemeClr w14:val="tx1"/>
            </w14:solidFill>
          </w14:textFill>
        </w:rPr>
        <w:t xml:space="preserve">          </w:t>
      </w:r>
    </w:p>
    <w:p w14:paraId="41C1485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07001C5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2115809">
      <w:pPr>
        <w:pStyle w:val="6"/>
        <w:bidi w:val="0"/>
        <w:jc w:val="cente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格式</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lang w:val="zh-CN" w:eastAsia="zh-CN"/>
          <w14:textFill>
            <w14:solidFill>
              <w14:schemeClr w14:val="tx1"/>
            </w14:solidFill>
          </w14:textFill>
        </w:rPr>
        <w:t>、中小企业声明函</w:t>
      </w:r>
    </w:p>
    <w:p w14:paraId="5F16EC0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本公司（联合体）郑重声明，根据《政府采购促进中小企业发展管理办法》（财库﹝2020﹞46号）的规定，本公司</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（单位名称），参加的</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（项目名称）采购活动，服务全部由符合政策要求的中小型企业承接。相关企业（含联合体中的中小企业、签订分包意向协议的中小企业）的具体情况如下：</w:t>
      </w:r>
    </w:p>
    <w:p w14:paraId="0B7B81F6">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u w:val="single"/>
          <w14:textFill>
            <w14:solidFill>
              <w14:schemeClr w14:val="tx1"/>
            </w14:solidFill>
          </w14:textFill>
        </w:rPr>
        <w:t xml:space="preserve">           （标的名称）</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行业；承接企业为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（企业名称）</w:t>
      </w:r>
      <w:r>
        <w:rPr>
          <w:rFonts w:hint="eastAsia"/>
          <w:color w:val="000000" w:themeColor="text1"/>
          <w:highlight w:val="none"/>
          <w14:textFill>
            <w14:solidFill>
              <w14:schemeClr w14:val="tx1"/>
            </w14:solidFill>
          </w14:textFill>
        </w:rPr>
        <w:t>，从业人员</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人，营业收入为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万元，资产总额为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万元，属于</w:t>
      </w:r>
      <w:r>
        <w:rPr>
          <w:rFonts w:hint="eastAsia"/>
          <w:color w:val="000000" w:themeColor="text1"/>
          <w:highlight w:val="none"/>
          <w:u w:val="single"/>
          <w14:textFill>
            <w14:solidFill>
              <w14:schemeClr w14:val="tx1"/>
            </w14:solidFill>
          </w14:textFill>
        </w:rPr>
        <w:t xml:space="preserve">        （中型企业、小型企业、微型企业）</w:t>
      </w:r>
      <w:r>
        <w:rPr>
          <w:rFonts w:hint="eastAsia"/>
          <w:color w:val="000000" w:themeColor="text1"/>
          <w:highlight w:val="none"/>
          <w14:textFill>
            <w14:solidFill>
              <w14:schemeClr w14:val="tx1"/>
            </w14:solidFill>
          </w14:textFill>
        </w:rPr>
        <w:t>；</w:t>
      </w:r>
    </w:p>
    <w:p w14:paraId="7AB4567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（标的名称）</w:t>
      </w:r>
      <w:r>
        <w:rPr>
          <w:rFonts w:hint="eastAsia"/>
          <w:color w:val="000000" w:themeColor="text1"/>
          <w:highlight w:val="none"/>
          <w14:textFill>
            <w14:solidFill>
              <w14:schemeClr w14:val="tx1"/>
            </w14:solidFill>
          </w14:textFill>
        </w:rPr>
        <w:t>，属于</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行业；承接企业为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（企业名称）</w:t>
      </w:r>
      <w:r>
        <w:rPr>
          <w:rFonts w:hint="eastAsia"/>
          <w:color w:val="000000" w:themeColor="text1"/>
          <w:highlight w:val="none"/>
          <w14:textFill>
            <w14:solidFill>
              <w14:schemeClr w14:val="tx1"/>
            </w14:solidFill>
          </w14:textFill>
        </w:rPr>
        <w:t>，从业人员</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人，营业收入为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万元，资产总额为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万元，属于</w:t>
      </w:r>
      <w:r>
        <w:rPr>
          <w:rFonts w:hint="eastAsia"/>
          <w:color w:val="000000" w:themeColor="text1"/>
          <w:highlight w:val="none"/>
          <w:u w:val="single"/>
          <w14:textFill>
            <w14:solidFill>
              <w14:schemeClr w14:val="tx1"/>
            </w14:solidFill>
          </w14:textFill>
        </w:rPr>
        <w:t xml:space="preserve">        （中型企业、小型企业、微型企业）</w:t>
      </w:r>
      <w:r>
        <w:rPr>
          <w:rFonts w:hint="eastAsia"/>
          <w:color w:val="000000" w:themeColor="text1"/>
          <w:highlight w:val="none"/>
          <w14:textFill>
            <w14:solidFill>
              <w14:schemeClr w14:val="tx1"/>
            </w14:solidFill>
          </w14:textFill>
        </w:rPr>
        <w:t>；</w:t>
      </w:r>
    </w:p>
    <w:p w14:paraId="0C9FC17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22F503E1">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1895B3F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本企业对上述声明内容的真实性负责。如有虚假，将依法承担相应责任。</w:t>
      </w:r>
    </w:p>
    <w:p w14:paraId="7EA7B985">
      <w:pPr>
        <w:pStyle w:val="5"/>
        <w:bidi w:val="0"/>
        <w:rPr>
          <w:rFonts w:hint="eastAsia"/>
          <w:color w:val="000000" w:themeColor="text1"/>
          <w:highlight w:val="none"/>
          <w14:textFill>
            <w14:solidFill>
              <w14:schemeClr w14:val="tx1"/>
            </w14:solidFill>
          </w14:textFill>
        </w:rPr>
      </w:pPr>
    </w:p>
    <w:p w14:paraId="05F8DE6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企业名称（盖章）：</w:t>
      </w:r>
    </w:p>
    <w:p w14:paraId="2D63FDD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期：</w:t>
      </w:r>
    </w:p>
    <w:p w14:paraId="1B56ED32">
      <w:pPr>
        <w:pStyle w:val="5"/>
        <w:bidi w:val="0"/>
        <w:rPr>
          <w:rFonts w:hint="eastAsia"/>
          <w:color w:val="000000" w:themeColor="text1"/>
          <w:highlight w:val="none"/>
          <w14:textFill>
            <w14:solidFill>
              <w14:schemeClr w14:val="tx1"/>
            </w14:solidFill>
          </w14:textFill>
        </w:rPr>
      </w:pPr>
    </w:p>
    <w:p w14:paraId="0E7AF8A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从业人员、营业收入、资产总额填报上一年度数据，无上一年度数据的新成立企业可不填报。</w:t>
      </w:r>
    </w:p>
    <w:p w14:paraId="00F8DD63">
      <w:pPr>
        <w:pStyle w:val="5"/>
        <w:bidi w:val="0"/>
        <w:rPr>
          <w:rFonts w:hint="eastAsia"/>
          <w:color w:val="000000" w:themeColor="text1"/>
          <w:highlight w:val="none"/>
          <w14:textFill>
            <w14:solidFill>
              <w14:schemeClr w14:val="tx1"/>
            </w14:solidFill>
          </w14:textFill>
        </w:rPr>
      </w:pPr>
      <w:bookmarkStart w:id="548" w:name="_Toc144887260"/>
      <w:r>
        <w:rPr>
          <w:rFonts w:hint="eastAsia"/>
          <w:color w:val="000000" w:themeColor="text1"/>
          <w:highlight w:val="none"/>
          <w14:textFill>
            <w14:solidFill>
              <w14:schemeClr w14:val="tx1"/>
            </w14:solidFill>
          </w14:textFill>
        </w:rPr>
        <w:br w:type="page"/>
      </w:r>
    </w:p>
    <w:p w14:paraId="10565654">
      <w:pPr>
        <w:pStyle w:val="2"/>
        <w:bidi w:val="0"/>
        <w:rPr>
          <w:rFonts w:hint="eastAsia"/>
          <w:color w:val="000000" w:themeColor="text1"/>
          <w:highlight w:val="none"/>
          <w14:textFill>
            <w14:solidFill>
              <w14:schemeClr w14:val="tx1"/>
            </w14:solidFill>
          </w14:textFill>
        </w:rPr>
      </w:pPr>
      <w:bookmarkStart w:id="549" w:name="_Toc28282"/>
      <w:r>
        <w:rPr>
          <w:rFonts w:hint="eastAsia"/>
          <w:color w:val="000000" w:themeColor="text1"/>
          <w:highlight w:val="none"/>
          <w14:textFill>
            <w14:solidFill>
              <w14:schemeClr w14:val="tx1"/>
            </w14:solidFill>
          </w14:textFill>
        </w:rPr>
        <w:t>第八章 最终报价或第   次报价表</w:t>
      </w:r>
      <w:bookmarkEnd w:id="548"/>
      <w:bookmarkEnd w:id="549"/>
    </w:p>
    <w:p w14:paraId="5F96231F">
      <w:pPr>
        <w:pStyle w:val="5"/>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货币单位：</w:t>
      </w:r>
      <w:r>
        <w:rPr>
          <w:rFonts w:hint="eastAsia"/>
          <w:color w:val="000000" w:themeColor="text1"/>
          <w:highlight w:val="none"/>
          <w:u w:val="single"/>
          <w14:textFill>
            <w14:solidFill>
              <w14:schemeClr w14:val="tx1"/>
            </w14:solidFill>
          </w14:textFill>
        </w:rPr>
        <w:t xml:space="preserve"> 元 </w:t>
      </w:r>
    </w:p>
    <w:tbl>
      <w:tblPr>
        <w:tblStyle w:val="25"/>
        <w:tblW w:w="0" w:type="auto"/>
        <w:jc w:val="center"/>
        <w:tblLayout w:type="fixed"/>
        <w:tblCellMar>
          <w:top w:w="0" w:type="dxa"/>
          <w:left w:w="108" w:type="dxa"/>
          <w:bottom w:w="0" w:type="dxa"/>
          <w:right w:w="108" w:type="dxa"/>
        </w:tblCellMar>
      </w:tblPr>
      <w:tblGrid>
        <w:gridCol w:w="1803"/>
        <w:gridCol w:w="7236"/>
      </w:tblGrid>
      <w:tr w14:paraId="55F472D5">
        <w:tblPrEx>
          <w:tblCellMar>
            <w:top w:w="0" w:type="dxa"/>
            <w:left w:w="108" w:type="dxa"/>
            <w:bottom w:w="0" w:type="dxa"/>
            <w:right w:w="108" w:type="dxa"/>
          </w:tblCellMar>
        </w:tblPrEx>
        <w:trPr>
          <w:trHeight w:val="1457"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3EEAF2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2417FB2B">
            <w:pPr>
              <w:bidi w:val="0"/>
              <w:rPr>
                <w:rFonts w:hint="eastAsia"/>
                <w:color w:val="000000" w:themeColor="text1"/>
                <w:highlight w:val="none"/>
                <w14:textFill>
                  <w14:solidFill>
                    <w14:schemeClr w14:val="tx1"/>
                  </w14:solidFill>
                </w14:textFill>
              </w:rPr>
            </w:pPr>
          </w:p>
        </w:tc>
      </w:tr>
      <w:tr w14:paraId="7131F8DF">
        <w:tblPrEx>
          <w:tblCellMar>
            <w:top w:w="0" w:type="dxa"/>
            <w:left w:w="108" w:type="dxa"/>
            <w:bottom w:w="0" w:type="dxa"/>
            <w:right w:w="108" w:type="dxa"/>
          </w:tblCellMar>
        </w:tblPrEx>
        <w:trPr>
          <w:trHeight w:val="169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03B6C5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00EB0949">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大写：</w:t>
            </w:r>
            <w:r>
              <w:rPr>
                <w:rFonts w:hint="eastAsia"/>
                <w:color w:val="000000" w:themeColor="text1"/>
                <w:highlight w:val="none"/>
                <w:u w:val="single"/>
                <w14:textFill>
                  <w14:solidFill>
                    <w14:schemeClr w14:val="tx1"/>
                  </w14:solidFill>
                </w14:textFill>
              </w:rPr>
              <w:t xml:space="preserve">     </w:t>
            </w:r>
          </w:p>
          <w:p w14:paraId="4A84DFC5">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小写</w:t>
            </w:r>
            <w:r>
              <w:rPr>
                <w:rFonts w:hint="eastAsia"/>
                <w:color w:val="000000" w:themeColor="text1"/>
                <w:highlight w:val="non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p>
        </w:tc>
      </w:tr>
      <w:tr w14:paraId="5D791C76">
        <w:tblPrEx>
          <w:tblCellMar>
            <w:top w:w="0" w:type="dxa"/>
            <w:left w:w="108" w:type="dxa"/>
            <w:bottom w:w="0" w:type="dxa"/>
            <w:right w:w="108" w:type="dxa"/>
          </w:tblCellMar>
        </w:tblPrEx>
        <w:trPr>
          <w:trHeight w:val="1193"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C4226DC">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服务</w:t>
            </w:r>
            <w:r>
              <w:rPr>
                <w:rFonts w:hint="eastAsia"/>
                <w:color w:val="000000" w:themeColor="text1"/>
                <w:highlight w:val="none"/>
                <w14:textFill>
                  <w14:solidFill>
                    <w14:schemeClr w14:val="tx1"/>
                  </w14:solidFill>
                </w14:textFill>
              </w:rPr>
              <w:t>期</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363C782D">
            <w:pPr>
              <w:bidi w:val="0"/>
              <w:rPr>
                <w:rFonts w:hint="eastAsia"/>
                <w:color w:val="000000" w:themeColor="text1"/>
                <w:highlight w:val="none"/>
                <w14:textFill>
                  <w14:solidFill>
                    <w14:schemeClr w14:val="tx1"/>
                  </w14:solidFill>
                </w14:textFill>
              </w:rPr>
            </w:pPr>
          </w:p>
        </w:tc>
      </w:tr>
      <w:tr w14:paraId="3EE93382">
        <w:tblPrEx>
          <w:tblCellMar>
            <w:top w:w="0" w:type="dxa"/>
            <w:left w:w="108" w:type="dxa"/>
            <w:bottom w:w="0" w:type="dxa"/>
            <w:right w:w="108" w:type="dxa"/>
          </w:tblCellMar>
        </w:tblPrEx>
        <w:trPr>
          <w:trHeight w:val="1405" w:hRule="atLeast"/>
          <w:jc w:val="center"/>
        </w:trPr>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D6E726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c>
          <w:tcPr>
            <w:tcW w:w="7236" w:type="dxa"/>
            <w:tcBorders>
              <w:top w:val="single" w:color="000000" w:sz="4" w:space="0"/>
              <w:left w:val="single" w:color="000000" w:sz="4" w:space="0"/>
              <w:bottom w:val="single" w:color="000000" w:sz="4" w:space="0"/>
              <w:right w:val="single" w:color="000000" w:sz="4" w:space="0"/>
            </w:tcBorders>
            <w:noWrap w:val="0"/>
            <w:vAlign w:val="center"/>
          </w:tcPr>
          <w:p w14:paraId="26F7A969">
            <w:pPr>
              <w:bidi w:val="0"/>
              <w:rPr>
                <w:rFonts w:hint="eastAsia"/>
                <w:color w:val="000000" w:themeColor="text1"/>
                <w:highlight w:val="none"/>
                <w14:textFill>
                  <w14:solidFill>
                    <w14:schemeClr w14:val="tx1"/>
                  </w14:solidFill>
                </w14:textFill>
              </w:rPr>
            </w:pPr>
          </w:p>
        </w:tc>
      </w:tr>
    </w:tbl>
    <w:p w14:paraId="05B7283A">
      <w:pPr>
        <w:pStyle w:val="5"/>
        <w:bidi w:val="0"/>
        <w:rPr>
          <w:rFonts w:hint="eastAsia"/>
          <w:color w:val="000000" w:themeColor="text1"/>
          <w:highlight w:val="none"/>
          <w14:textFill>
            <w14:solidFill>
              <w14:schemeClr w14:val="tx1"/>
            </w14:solidFill>
          </w14:textFill>
        </w:rPr>
      </w:pPr>
    </w:p>
    <w:p w14:paraId="33DFB8A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w:t>
      </w:r>
      <w:r>
        <w:rPr>
          <w:rFonts w:hint="eastAsia"/>
          <w:color w:val="000000" w:themeColor="text1"/>
          <w:highlight w:val="none"/>
          <w:u w:val="single"/>
          <w14:textFill>
            <w14:solidFill>
              <w14:schemeClr w14:val="tx1"/>
            </w14:solidFill>
          </w14:textFill>
        </w:rPr>
        <w:t xml:space="preserve">                         （加盖供应商公章）</w:t>
      </w:r>
    </w:p>
    <w:p w14:paraId="060FAE1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法定代表人（单位负责人）或委托代理人（签字或盖章）：</w:t>
      </w:r>
      <w:r>
        <w:rPr>
          <w:rFonts w:hint="eastAsia"/>
          <w:color w:val="000000" w:themeColor="text1"/>
          <w:highlight w:val="none"/>
          <w:u w:val="single"/>
          <w14:textFill>
            <w14:solidFill>
              <w14:schemeClr w14:val="tx1"/>
            </w14:solidFill>
          </w14:textFill>
        </w:rPr>
        <w:t xml:space="preserve">          </w:t>
      </w:r>
    </w:p>
    <w:p w14:paraId="2B8B9B0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310BAB6F">
      <w:pPr>
        <w:pStyle w:val="5"/>
        <w:bidi w:val="0"/>
        <w:rPr>
          <w:rFonts w:hint="eastAsia"/>
          <w:color w:val="000000" w:themeColor="text1"/>
          <w:highlight w:val="none"/>
          <w:lang w:val="en-US" w:eastAsia="zh-CN"/>
          <w14:textFill>
            <w14:solidFill>
              <w14:schemeClr w14:val="tx1"/>
            </w14:solidFill>
          </w14:textFill>
        </w:rPr>
      </w:pPr>
    </w:p>
    <w:p w14:paraId="1966DAE8">
      <w:pPr>
        <w:pStyle w:val="5"/>
        <w:bidi w:val="0"/>
        <w:rPr>
          <w:rFonts w:hint="eastAsia"/>
          <w:color w:val="000000" w:themeColor="text1"/>
          <w:highlight w:val="none"/>
          <w:lang w:val="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本页&lt;最终报价书&gt;由投标供应商在谈判现场依谈判情况填写，请加盖公章后带至谈判现场备填（不需装订在投标响应文件内，请准备不少于两张），该表供谈判现场报价使用，打印该空表用于现场最终报价。考虑投标报价的方便，供应商在填写的最终承诺报价为合同总价，项目所需费用均包含在合同总价内。</w:t>
      </w:r>
    </w:p>
    <w:p w14:paraId="2437F5B1">
      <w:pPr>
        <w:pStyle w:val="5"/>
        <w:bidi w:val="0"/>
        <w:rPr>
          <w:rFonts w:hint="eastAsia"/>
          <w:color w:val="000000" w:themeColor="text1"/>
          <w:highlight w:val="none"/>
          <w14:textFill>
            <w14:solidFill>
              <w14:schemeClr w14:val="tx1"/>
            </w14:solidFill>
          </w14:textFill>
        </w:rPr>
      </w:pPr>
    </w:p>
    <w:p w14:paraId="6948B51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6554307">
      <w:pPr>
        <w:pStyle w:val="6"/>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关于印发《中小企业划型标准规定》的通知</w:t>
      </w:r>
    </w:p>
    <w:p w14:paraId="32D0E2EC">
      <w:pPr>
        <w:pStyle w:val="6"/>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中小企业划型标准规定</w:t>
      </w:r>
    </w:p>
    <w:p w14:paraId="2BD7257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一、</w:t>
      </w:r>
      <w:r>
        <w:rPr>
          <w:rFonts w:hint="eastAsia"/>
          <w:color w:val="000000" w:themeColor="text1"/>
          <w:highlight w:val="none"/>
          <w14:textFill>
            <w14:solidFill>
              <w14:schemeClr w14:val="tx1"/>
            </w14:solidFill>
          </w14:textFill>
        </w:rPr>
        <w:t>根据《中华人民共和国中小企业促进法》和《国务院关于进一步促进中小企业发展的若干意见》（国发〔2009〕36号），制定本规定。</w:t>
      </w:r>
    </w:p>
    <w:p w14:paraId="74FA0D8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二、中小企业划分为中型、小型、微型三种类型，具体标准根据企业从业人员、营业收入、资产总额等指标，结合行业特点制定。</w:t>
      </w:r>
    </w:p>
    <w:p w14:paraId="76E2949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9802F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四、各行业划型标准为：</w:t>
      </w:r>
    </w:p>
    <w:p w14:paraId="40A36B2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7316332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7A90F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34AB78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9103A4">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F7EEAA">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2892B3">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2A2D3B">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A7B9A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21CB5">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4C8639">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1A22D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02005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167040">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FA567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C9AC7D">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1E5A422">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五、企业类型的划分以统计部门的统计数据为依据。</w:t>
      </w:r>
    </w:p>
    <w:p w14:paraId="46E7848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119484FE">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01A338B7">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八、本规定由工业和信息化部、国家统计局会同有关部门根据《国民经济行业分类》修订情况和企业发展变化情况适时修订。</w:t>
      </w:r>
    </w:p>
    <w:p w14:paraId="690D1128">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九、本规定由工业和信息化部、国家统计局会同有关部门负责解释。</w:t>
      </w:r>
    </w:p>
    <w:p w14:paraId="4C9F294C">
      <w:pPr>
        <w:pStyle w:val="5"/>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十、本</w:t>
      </w:r>
      <w:bookmarkEnd w:id="544"/>
      <w:bookmarkEnd w:id="545"/>
      <w:bookmarkEnd w:id="546"/>
      <w:bookmarkEnd w:id="547"/>
      <w:r>
        <w:rPr>
          <w:rFonts w:hint="eastAsia"/>
          <w:color w:val="000000" w:themeColor="text1"/>
          <w:highlight w:val="none"/>
          <w14:textFill>
            <w14:solidFill>
              <w14:schemeClr w14:val="tx1"/>
            </w14:solidFill>
          </w14:textFill>
        </w:rPr>
        <w:t>规定自发布之日起执行，原国家经贸委、原国家计委、财政部和国家统计局2003年颁布的《中小企业标准暂行规定》同时废止。</w:t>
      </w:r>
    </w:p>
    <w:sectPr>
      <w:footerReference r:id="rId3" w:type="default"/>
      <w:pgSz w:w="11910" w:h="16850"/>
      <w:pgMar w:top="1134" w:right="1134" w:bottom="1134" w:left="1134" w:header="0" w:footer="567" w:gutter="283"/>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onospace">
    <w:altName w:val="Noto Sans CJK JP Bold"/>
    <w:panose1 w:val="00000000000000000000"/>
    <w:charset w:val="00"/>
    <w:family w:val="auto"/>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6AF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31903">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B31903">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WYyMDRkZTJhMmZiYjA1ZGY3YWM3NzkxMmYwNjkifQ=="/>
  </w:docVars>
  <w:rsids>
    <w:rsidRoot w:val="41276B18"/>
    <w:rsid w:val="000165EF"/>
    <w:rsid w:val="0003011D"/>
    <w:rsid w:val="000441BC"/>
    <w:rsid w:val="00061B59"/>
    <w:rsid w:val="000737EC"/>
    <w:rsid w:val="000968FA"/>
    <w:rsid w:val="000A6A09"/>
    <w:rsid w:val="000B0661"/>
    <w:rsid w:val="000F2348"/>
    <w:rsid w:val="000F7489"/>
    <w:rsid w:val="0010574A"/>
    <w:rsid w:val="00110EAA"/>
    <w:rsid w:val="00123224"/>
    <w:rsid w:val="00123944"/>
    <w:rsid w:val="00125103"/>
    <w:rsid w:val="00131956"/>
    <w:rsid w:val="00145BD1"/>
    <w:rsid w:val="001651BE"/>
    <w:rsid w:val="0017428C"/>
    <w:rsid w:val="001756E7"/>
    <w:rsid w:val="001757DF"/>
    <w:rsid w:val="00196B20"/>
    <w:rsid w:val="00196C31"/>
    <w:rsid w:val="00196F4C"/>
    <w:rsid w:val="00197886"/>
    <w:rsid w:val="001B596C"/>
    <w:rsid w:val="001B6D98"/>
    <w:rsid w:val="001D5082"/>
    <w:rsid w:val="001E6897"/>
    <w:rsid w:val="001F5440"/>
    <w:rsid w:val="002035FB"/>
    <w:rsid w:val="00222970"/>
    <w:rsid w:val="002332D1"/>
    <w:rsid w:val="00240ADC"/>
    <w:rsid w:val="00246E16"/>
    <w:rsid w:val="002564A6"/>
    <w:rsid w:val="0029399D"/>
    <w:rsid w:val="002B2CBF"/>
    <w:rsid w:val="002C1E3F"/>
    <w:rsid w:val="002C388D"/>
    <w:rsid w:val="002C6756"/>
    <w:rsid w:val="002E5A7B"/>
    <w:rsid w:val="002E7ADD"/>
    <w:rsid w:val="002F1847"/>
    <w:rsid w:val="002F733D"/>
    <w:rsid w:val="0030524C"/>
    <w:rsid w:val="003108B1"/>
    <w:rsid w:val="003112AD"/>
    <w:rsid w:val="00315D66"/>
    <w:rsid w:val="00323776"/>
    <w:rsid w:val="00324101"/>
    <w:rsid w:val="00332FB6"/>
    <w:rsid w:val="00336209"/>
    <w:rsid w:val="003A31AF"/>
    <w:rsid w:val="003A3990"/>
    <w:rsid w:val="003A6EFF"/>
    <w:rsid w:val="003B314D"/>
    <w:rsid w:val="003B733C"/>
    <w:rsid w:val="003F54DC"/>
    <w:rsid w:val="003F631F"/>
    <w:rsid w:val="0041047D"/>
    <w:rsid w:val="0041309E"/>
    <w:rsid w:val="0042552E"/>
    <w:rsid w:val="00431C35"/>
    <w:rsid w:val="004321ED"/>
    <w:rsid w:val="0044412A"/>
    <w:rsid w:val="004527D3"/>
    <w:rsid w:val="00453866"/>
    <w:rsid w:val="004574BF"/>
    <w:rsid w:val="004655B7"/>
    <w:rsid w:val="00470DDB"/>
    <w:rsid w:val="00497D54"/>
    <w:rsid w:val="004D3F33"/>
    <w:rsid w:val="004D5AAD"/>
    <w:rsid w:val="004F1CA2"/>
    <w:rsid w:val="00501A62"/>
    <w:rsid w:val="00520024"/>
    <w:rsid w:val="00520A37"/>
    <w:rsid w:val="00523CA3"/>
    <w:rsid w:val="0053287A"/>
    <w:rsid w:val="0054736A"/>
    <w:rsid w:val="00550F73"/>
    <w:rsid w:val="00555829"/>
    <w:rsid w:val="00556664"/>
    <w:rsid w:val="0057366B"/>
    <w:rsid w:val="005776FB"/>
    <w:rsid w:val="005A13C1"/>
    <w:rsid w:val="005A1D01"/>
    <w:rsid w:val="005A21F9"/>
    <w:rsid w:val="005A2384"/>
    <w:rsid w:val="005A3DD3"/>
    <w:rsid w:val="005D4871"/>
    <w:rsid w:val="005D6148"/>
    <w:rsid w:val="00600060"/>
    <w:rsid w:val="006065A5"/>
    <w:rsid w:val="00611FE4"/>
    <w:rsid w:val="00620776"/>
    <w:rsid w:val="0062250D"/>
    <w:rsid w:val="00626E58"/>
    <w:rsid w:val="006419C9"/>
    <w:rsid w:val="00646C8B"/>
    <w:rsid w:val="006473D7"/>
    <w:rsid w:val="0065665E"/>
    <w:rsid w:val="006761CB"/>
    <w:rsid w:val="00686818"/>
    <w:rsid w:val="006912DD"/>
    <w:rsid w:val="00693F56"/>
    <w:rsid w:val="00696E58"/>
    <w:rsid w:val="006A096B"/>
    <w:rsid w:val="006A2D80"/>
    <w:rsid w:val="006B5BF4"/>
    <w:rsid w:val="006B7F7A"/>
    <w:rsid w:val="006B7FC4"/>
    <w:rsid w:val="006C443E"/>
    <w:rsid w:val="006C64D3"/>
    <w:rsid w:val="006E025C"/>
    <w:rsid w:val="006E3826"/>
    <w:rsid w:val="006E392B"/>
    <w:rsid w:val="006F6DD3"/>
    <w:rsid w:val="007148EE"/>
    <w:rsid w:val="00716184"/>
    <w:rsid w:val="00741499"/>
    <w:rsid w:val="00741C5E"/>
    <w:rsid w:val="00754475"/>
    <w:rsid w:val="007547BC"/>
    <w:rsid w:val="00763E3A"/>
    <w:rsid w:val="007775B9"/>
    <w:rsid w:val="007834EB"/>
    <w:rsid w:val="00783BD7"/>
    <w:rsid w:val="00785B06"/>
    <w:rsid w:val="007974F3"/>
    <w:rsid w:val="007B2F6E"/>
    <w:rsid w:val="007C5A99"/>
    <w:rsid w:val="007D207E"/>
    <w:rsid w:val="007D4EA3"/>
    <w:rsid w:val="007E33BD"/>
    <w:rsid w:val="007F4C7A"/>
    <w:rsid w:val="00800224"/>
    <w:rsid w:val="00803252"/>
    <w:rsid w:val="008039CB"/>
    <w:rsid w:val="008049EE"/>
    <w:rsid w:val="00806CE0"/>
    <w:rsid w:val="00815C2A"/>
    <w:rsid w:val="00827FDD"/>
    <w:rsid w:val="008535C9"/>
    <w:rsid w:val="00853F5A"/>
    <w:rsid w:val="00855D99"/>
    <w:rsid w:val="008626CD"/>
    <w:rsid w:val="008647A7"/>
    <w:rsid w:val="00867C3A"/>
    <w:rsid w:val="00881D16"/>
    <w:rsid w:val="00894758"/>
    <w:rsid w:val="008A1A6D"/>
    <w:rsid w:val="008A1EC3"/>
    <w:rsid w:val="008A449D"/>
    <w:rsid w:val="008E6D3A"/>
    <w:rsid w:val="008F1DF3"/>
    <w:rsid w:val="009032CC"/>
    <w:rsid w:val="00905ECB"/>
    <w:rsid w:val="0090663F"/>
    <w:rsid w:val="00923458"/>
    <w:rsid w:val="00924FEB"/>
    <w:rsid w:val="00942B39"/>
    <w:rsid w:val="00951F96"/>
    <w:rsid w:val="00953470"/>
    <w:rsid w:val="0095698A"/>
    <w:rsid w:val="00990883"/>
    <w:rsid w:val="00990C60"/>
    <w:rsid w:val="00991227"/>
    <w:rsid w:val="00997F72"/>
    <w:rsid w:val="009A09B2"/>
    <w:rsid w:val="009C0771"/>
    <w:rsid w:val="009D6F10"/>
    <w:rsid w:val="009D7988"/>
    <w:rsid w:val="009E5E77"/>
    <w:rsid w:val="009E6B05"/>
    <w:rsid w:val="00A03B21"/>
    <w:rsid w:val="00A06611"/>
    <w:rsid w:val="00A2587E"/>
    <w:rsid w:val="00A51409"/>
    <w:rsid w:val="00A63F82"/>
    <w:rsid w:val="00A71F37"/>
    <w:rsid w:val="00A970FA"/>
    <w:rsid w:val="00AB58A3"/>
    <w:rsid w:val="00AB76A6"/>
    <w:rsid w:val="00AC6556"/>
    <w:rsid w:val="00AE0BD2"/>
    <w:rsid w:val="00AE1337"/>
    <w:rsid w:val="00AF2A33"/>
    <w:rsid w:val="00AF4BCA"/>
    <w:rsid w:val="00B06D23"/>
    <w:rsid w:val="00B2054C"/>
    <w:rsid w:val="00B3034B"/>
    <w:rsid w:val="00B30354"/>
    <w:rsid w:val="00B33E43"/>
    <w:rsid w:val="00B3445A"/>
    <w:rsid w:val="00B35431"/>
    <w:rsid w:val="00B55518"/>
    <w:rsid w:val="00B731D6"/>
    <w:rsid w:val="00B77025"/>
    <w:rsid w:val="00B779D8"/>
    <w:rsid w:val="00B80BA7"/>
    <w:rsid w:val="00B92ACE"/>
    <w:rsid w:val="00B95E16"/>
    <w:rsid w:val="00B96064"/>
    <w:rsid w:val="00BA1DDE"/>
    <w:rsid w:val="00BA46D1"/>
    <w:rsid w:val="00BD7E7A"/>
    <w:rsid w:val="00BE3C6F"/>
    <w:rsid w:val="00BF59DD"/>
    <w:rsid w:val="00C002C8"/>
    <w:rsid w:val="00C10053"/>
    <w:rsid w:val="00C14394"/>
    <w:rsid w:val="00C25EE1"/>
    <w:rsid w:val="00C32F05"/>
    <w:rsid w:val="00C343C9"/>
    <w:rsid w:val="00C411C2"/>
    <w:rsid w:val="00C419FD"/>
    <w:rsid w:val="00C52D35"/>
    <w:rsid w:val="00C53F50"/>
    <w:rsid w:val="00C55E82"/>
    <w:rsid w:val="00C740BB"/>
    <w:rsid w:val="00C769F6"/>
    <w:rsid w:val="00C91C5E"/>
    <w:rsid w:val="00C91F44"/>
    <w:rsid w:val="00CA10FE"/>
    <w:rsid w:val="00CB30BB"/>
    <w:rsid w:val="00CB442A"/>
    <w:rsid w:val="00CC0FCB"/>
    <w:rsid w:val="00CC44BD"/>
    <w:rsid w:val="00CD3859"/>
    <w:rsid w:val="00CE1F99"/>
    <w:rsid w:val="00D02399"/>
    <w:rsid w:val="00D558C4"/>
    <w:rsid w:val="00D70C30"/>
    <w:rsid w:val="00D823F9"/>
    <w:rsid w:val="00D840C8"/>
    <w:rsid w:val="00D864E1"/>
    <w:rsid w:val="00D87AF7"/>
    <w:rsid w:val="00D94A28"/>
    <w:rsid w:val="00DA23D9"/>
    <w:rsid w:val="00DA2EF2"/>
    <w:rsid w:val="00DC1758"/>
    <w:rsid w:val="00DD1CD3"/>
    <w:rsid w:val="00DD57FD"/>
    <w:rsid w:val="00DD6ACA"/>
    <w:rsid w:val="00DE3043"/>
    <w:rsid w:val="00DE7068"/>
    <w:rsid w:val="00E05CD5"/>
    <w:rsid w:val="00E141D5"/>
    <w:rsid w:val="00E173B7"/>
    <w:rsid w:val="00E20159"/>
    <w:rsid w:val="00E21ABF"/>
    <w:rsid w:val="00E24A65"/>
    <w:rsid w:val="00E33B90"/>
    <w:rsid w:val="00E34394"/>
    <w:rsid w:val="00E3565F"/>
    <w:rsid w:val="00E42FF4"/>
    <w:rsid w:val="00E45CCF"/>
    <w:rsid w:val="00E4647D"/>
    <w:rsid w:val="00E51F21"/>
    <w:rsid w:val="00E5660A"/>
    <w:rsid w:val="00E568E8"/>
    <w:rsid w:val="00E71722"/>
    <w:rsid w:val="00E72057"/>
    <w:rsid w:val="00E827EE"/>
    <w:rsid w:val="00E9001B"/>
    <w:rsid w:val="00E902E7"/>
    <w:rsid w:val="00E90A37"/>
    <w:rsid w:val="00EA3100"/>
    <w:rsid w:val="00EB1A9C"/>
    <w:rsid w:val="00EB1D40"/>
    <w:rsid w:val="00ED2EF6"/>
    <w:rsid w:val="00ED4DD8"/>
    <w:rsid w:val="00EF2956"/>
    <w:rsid w:val="00EF5C0B"/>
    <w:rsid w:val="00F1464F"/>
    <w:rsid w:val="00F35E54"/>
    <w:rsid w:val="00F4052F"/>
    <w:rsid w:val="00F60ECB"/>
    <w:rsid w:val="00F80C03"/>
    <w:rsid w:val="00F82BED"/>
    <w:rsid w:val="00F86720"/>
    <w:rsid w:val="00F97941"/>
    <w:rsid w:val="00FA3634"/>
    <w:rsid w:val="00FB34FF"/>
    <w:rsid w:val="00FC033D"/>
    <w:rsid w:val="00FC0DD3"/>
    <w:rsid w:val="00FC2556"/>
    <w:rsid w:val="00FC2D66"/>
    <w:rsid w:val="00FC2FE2"/>
    <w:rsid w:val="00FD0E74"/>
    <w:rsid w:val="00FE23FB"/>
    <w:rsid w:val="00FF5BE1"/>
    <w:rsid w:val="01B51023"/>
    <w:rsid w:val="05EC0902"/>
    <w:rsid w:val="06157D80"/>
    <w:rsid w:val="06334DDB"/>
    <w:rsid w:val="06722168"/>
    <w:rsid w:val="06D20A25"/>
    <w:rsid w:val="093A0082"/>
    <w:rsid w:val="0C056389"/>
    <w:rsid w:val="0E575B7E"/>
    <w:rsid w:val="0EBB5E05"/>
    <w:rsid w:val="0EE1715C"/>
    <w:rsid w:val="0F4B1B9C"/>
    <w:rsid w:val="0F4E4382"/>
    <w:rsid w:val="0F92175D"/>
    <w:rsid w:val="12147CCE"/>
    <w:rsid w:val="12AD0885"/>
    <w:rsid w:val="12CB697C"/>
    <w:rsid w:val="15067470"/>
    <w:rsid w:val="16AF39B2"/>
    <w:rsid w:val="1A740F47"/>
    <w:rsid w:val="1AF67D46"/>
    <w:rsid w:val="1B0D5078"/>
    <w:rsid w:val="1BD76ED4"/>
    <w:rsid w:val="1CB66208"/>
    <w:rsid w:val="1F833C2E"/>
    <w:rsid w:val="20196340"/>
    <w:rsid w:val="2283089F"/>
    <w:rsid w:val="23BF0980"/>
    <w:rsid w:val="24311667"/>
    <w:rsid w:val="24B8072F"/>
    <w:rsid w:val="269746AD"/>
    <w:rsid w:val="28523DFA"/>
    <w:rsid w:val="29786A50"/>
    <w:rsid w:val="2A09153B"/>
    <w:rsid w:val="2AEA2DB3"/>
    <w:rsid w:val="2DD10816"/>
    <w:rsid w:val="2ECA5DDA"/>
    <w:rsid w:val="302E63A0"/>
    <w:rsid w:val="316450AF"/>
    <w:rsid w:val="324101D8"/>
    <w:rsid w:val="3310712F"/>
    <w:rsid w:val="338D73BB"/>
    <w:rsid w:val="339B4EF5"/>
    <w:rsid w:val="365A09D9"/>
    <w:rsid w:val="37FA03AE"/>
    <w:rsid w:val="388859B9"/>
    <w:rsid w:val="3A7519D1"/>
    <w:rsid w:val="3D1633EB"/>
    <w:rsid w:val="3D751C0B"/>
    <w:rsid w:val="3E067AAC"/>
    <w:rsid w:val="41276B18"/>
    <w:rsid w:val="413C5593"/>
    <w:rsid w:val="435F3730"/>
    <w:rsid w:val="43A6660D"/>
    <w:rsid w:val="46A55021"/>
    <w:rsid w:val="472D33B1"/>
    <w:rsid w:val="492078B6"/>
    <w:rsid w:val="49AA63CA"/>
    <w:rsid w:val="4AB97C54"/>
    <w:rsid w:val="4B986A05"/>
    <w:rsid w:val="4C9702F9"/>
    <w:rsid w:val="4D0D37E8"/>
    <w:rsid w:val="4D810EFD"/>
    <w:rsid w:val="4FB5487F"/>
    <w:rsid w:val="53425375"/>
    <w:rsid w:val="578749B4"/>
    <w:rsid w:val="58521B1F"/>
    <w:rsid w:val="585713D1"/>
    <w:rsid w:val="59457FDC"/>
    <w:rsid w:val="5C4828FA"/>
    <w:rsid w:val="5E480F1C"/>
    <w:rsid w:val="5E622685"/>
    <w:rsid w:val="5ED35331"/>
    <w:rsid w:val="5F937A23"/>
    <w:rsid w:val="5FCB75E6"/>
    <w:rsid w:val="604E3307"/>
    <w:rsid w:val="624B693E"/>
    <w:rsid w:val="62A37788"/>
    <w:rsid w:val="631F7989"/>
    <w:rsid w:val="634C0AEA"/>
    <w:rsid w:val="63C51F2A"/>
    <w:rsid w:val="67944D64"/>
    <w:rsid w:val="68475567"/>
    <w:rsid w:val="68DA56E3"/>
    <w:rsid w:val="68E6689B"/>
    <w:rsid w:val="69826F10"/>
    <w:rsid w:val="6AA933EA"/>
    <w:rsid w:val="6C3364F6"/>
    <w:rsid w:val="6C6036B1"/>
    <w:rsid w:val="6C69454C"/>
    <w:rsid w:val="6D535020"/>
    <w:rsid w:val="6EE12F3E"/>
    <w:rsid w:val="706A7177"/>
    <w:rsid w:val="74FFDA71"/>
    <w:rsid w:val="75301DA6"/>
    <w:rsid w:val="75846DED"/>
    <w:rsid w:val="79803D7B"/>
    <w:rsid w:val="7D90043A"/>
    <w:rsid w:val="7F7F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left"/>
    </w:pPr>
    <w:rPr>
      <w:rFonts w:ascii="宋体" w:hAnsi="宋体" w:eastAsia="宋体" w:cs="宋体"/>
      <w:kern w:val="2"/>
      <w:sz w:val="28"/>
      <w:szCs w:val="28"/>
      <w:lang w:val="en-US" w:eastAsia="zh-CN" w:bidi="ar-SA"/>
    </w:rPr>
  </w:style>
  <w:style w:type="paragraph" w:styleId="2">
    <w:name w:val="heading 1"/>
    <w:basedOn w:val="1"/>
    <w:next w:val="1"/>
    <w:link w:val="40"/>
    <w:qFormat/>
    <w:uiPriority w:val="0"/>
    <w:pPr>
      <w:jc w:val="center"/>
      <w:outlineLvl w:val="0"/>
    </w:pPr>
    <w:rPr>
      <w:rFonts w:hint="eastAsia" w:ascii="黑体" w:hAnsi="黑体" w:eastAsia="宋体" w:cs="宋体"/>
      <w:b/>
      <w:color w:val="000000" w:themeColor="text1"/>
      <w:kern w:val="2"/>
      <w:sz w:val="32"/>
      <w:szCs w:val="32"/>
      <w14:textFill>
        <w14:solidFill>
          <w14:schemeClr w14:val="tx1"/>
        </w14:solidFill>
      </w14:textFill>
    </w:rPr>
  </w:style>
  <w:style w:type="paragraph" w:styleId="3">
    <w:name w:val="heading 2"/>
    <w:basedOn w:val="1"/>
    <w:next w:val="1"/>
    <w:qFormat/>
    <w:uiPriority w:val="0"/>
    <w:pPr>
      <w:spacing w:before="260" w:after="260" w:line="415" w:lineRule="auto"/>
      <w:outlineLvl w:val="1"/>
    </w:pPr>
    <w:rPr>
      <w:rFonts w:ascii="Arial" w:hAnsi="Arial" w:eastAsia="黑体" w:cs="Arial"/>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rPr>
      <w:szCs w:val="22"/>
    </w:rPr>
  </w:style>
  <w:style w:type="paragraph" w:styleId="5">
    <w:name w:val="Normal Indent"/>
    <w:basedOn w:val="1"/>
    <w:next w:val="1"/>
    <w:qFormat/>
    <w:uiPriority w:val="0"/>
    <w:pPr>
      <w:ind w:firstLine="560" w:firstLineChars="200"/>
    </w:pPr>
    <w:rPr>
      <w:rFonts w:ascii="宋体" w:hAnsi="宋体"/>
      <w:kern w:val="0"/>
    </w:rPr>
  </w:style>
  <w:style w:type="paragraph" w:styleId="6">
    <w:name w:val="Body Text"/>
    <w:basedOn w:val="1"/>
    <w:next w:val="1"/>
    <w:qFormat/>
    <w:uiPriority w:val="0"/>
    <w:pPr>
      <w:jc w:val="left"/>
    </w:pPr>
    <w:rPr>
      <w:rFonts w:ascii="Calibri" w:hAnsi="Calibri" w:eastAsia="黑体" w:cs="黑体"/>
      <w:kern w:val="2"/>
      <w:sz w:val="28"/>
      <w:szCs w:val="28"/>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List 2"/>
    <w:basedOn w:val="1"/>
    <w:qFormat/>
    <w:uiPriority w:val="0"/>
    <w:pPr>
      <w:ind w:left="100" w:leftChars="200" w:hanging="200" w:hangingChars="200"/>
      <w:jc w:val="left"/>
    </w:pPr>
    <w:rPr>
      <w:rFonts w:ascii="Times New Roman" w:hAnsi="Times New Roman" w:eastAsia="Calibri" w:cs="Times New Roman"/>
      <w:kern w:val="0"/>
      <w:sz w:val="22"/>
    </w:rPr>
  </w:style>
  <w:style w:type="paragraph" w:styleId="10">
    <w:name w:val="toc 5"/>
    <w:basedOn w:val="1"/>
    <w:next w:val="1"/>
    <w:autoRedefine/>
    <w:unhideWhenUsed/>
    <w:qFormat/>
    <w:uiPriority w:val="39"/>
    <w:pPr>
      <w:ind w:left="1680" w:leftChars="800"/>
    </w:pPr>
    <w:rPr>
      <w:szCs w:val="22"/>
    </w:rPr>
  </w:style>
  <w:style w:type="paragraph" w:styleId="11">
    <w:name w:val="toc 3"/>
    <w:basedOn w:val="1"/>
    <w:next w:val="1"/>
    <w:autoRedefine/>
    <w:unhideWhenUsed/>
    <w:qFormat/>
    <w:uiPriority w:val="39"/>
    <w:pPr>
      <w:ind w:left="840" w:leftChars="400"/>
    </w:pPr>
    <w:rPr>
      <w:szCs w:val="22"/>
    </w:rPr>
  </w:style>
  <w:style w:type="paragraph" w:styleId="12">
    <w:name w:val="Plain Text"/>
    <w:basedOn w:val="1"/>
    <w:next w:val="1"/>
    <w:qFormat/>
    <w:uiPriority w:val="0"/>
    <w:pPr>
      <w:jc w:val="center"/>
    </w:pPr>
    <w:rPr>
      <w:sz w:val="32"/>
      <w:szCs w:val="32"/>
    </w:rPr>
  </w:style>
  <w:style w:type="paragraph" w:styleId="13">
    <w:name w:val="toc 8"/>
    <w:basedOn w:val="1"/>
    <w:next w:val="1"/>
    <w:autoRedefine/>
    <w:unhideWhenUsed/>
    <w:qFormat/>
    <w:uiPriority w:val="39"/>
    <w:pPr>
      <w:ind w:left="2940" w:leftChars="1400"/>
    </w:pPr>
    <w:rPr>
      <w:szCs w:val="22"/>
    </w:rPr>
  </w:style>
  <w:style w:type="paragraph" w:styleId="14">
    <w:name w:val="footer"/>
    <w:basedOn w:val="1"/>
    <w:link w:val="65"/>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720" w:lineRule="auto"/>
      <w:ind w:left="0"/>
      <w:jc w:val="center"/>
    </w:pPr>
    <w:rPr>
      <w:rFonts w:hint="eastAsia" w:ascii="宋体" w:hAnsi="宋体" w:eastAsia="宋体" w:cs="宋体"/>
      <w:kern w:val="0"/>
      <w:sz w:val="32"/>
      <w:szCs w:val="32"/>
    </w:rPr>
  </w:style>
  <w:style w:type="paragraph" w:styleId="17">
    <w:name w:val="toc 4"/>
    <w:basedOn w:val="1"/>
    <w:next w:val="1"/>
    <w:autoRedefine/>
    <w:unhideWhenUsed/>
    <w:qFormat/>
    <w:uiPriority w:val="39"/>
    <w:pPr>
      <w:ind w:left="1260" w:leftChars="600"/>
    </w:pPr>
    <w:rPr>
      <w:szCs w:val="22"/>
    </w:rPr>
  </w:style>
  <w:style w:type="paragraph" w:styleId="18">
    <w:name w:val="List"/>
    <w:basedOn w:val="1"/>
    <w:next w:val="1"/>
    <w:qFormat/>
    <w:uiPriority w:val="0"/>
    <w:pPr>
      <w:ind w:left="200" w:hanging="200" w:hangingChars="200"/>
    </w:pPr>
  </w:style>
  <w:style w:type="paragraph" w:styleId="19">
    <w:name w:val="toc 6"/>
    <w:basedOn w:val="1"/>
    <w:next w:val="1"/>
    <w:autoRedefine/>
    <w:unhideWhenUsed/>
    <w:qFormat/>
    <w:uiPriority w:val="39"/>
    <w:pPr>
      <w:ind w:left="2100" w:leftChars="1000"/>
    </w:pPr>
    <w:rPr>
      <w:szCs w:val="22"/>
    </w:rPr>
  </w:style>
  <w:style w:type="paragraph" w:styleId="20">
    <w:name w:val="toc 2"/>
    <w:basedOn w:val="1"/>
    <w:next w:val="1"/>
    <w:qFormat/>
    <w:uiPriority w:val="39"/>
    <w:pPr>
      <w:ind w:left="210"/>
      <w:jc w:val="left"/>
    </w:pPr>
    <w:rPr>
      <w:smallCaps/>
      <w:sz w:val="28"/>
    </w:rPr>
  </w:style>
  <w:style w:type="paragraph" w:styleId="21">
    <w:name w:val="toc 9"/>
    <w:basedOn w:val="1"/>
    <w:next w:val="1"/>
    <w:autoRedefine/>
    <w:unhideWhenUsed/>
    <w:qFormat/>
    <w:uiPriority w:val="39"/>
    <w:pPr>
      <w:ind w:left="3360" w:leftChars="1600"/>
    </w:pPr>
    <w:rPr>
      <w:szCs w:val="22"/>
    </w:rPr>
  </w:style>
  <w:style w:type="paragraph" w:styleId="22">
    <w:name w:val="Normal (Web)"/>
    <w:basedOn w:val="1"/>
    <w:qFormat/>
    <w:uiPriority w:val="0"/>
    <w:pPr>
      <w:spacing w:beforeAutospacing="1" w:afterAutospacing="1"/>
      <w:jc w:val="left"/>
    </w:pPr>
    <w:rPr>
      <w:rFonts w:ascii="Arial Unicode MS" w:hAnsi="Arial Unicode MS" w:eastAsia="Calibri" w:cs="Times New Roman"/>
      <w:kern w:val="0"/>
      <w:sz w:val="24"/>
      <w:szCs w:val="22"/>
    </w:rPr>
  </w:style>
  <w:style w:type="paragraph" w:styleId="23">
    <w:name w:val="Body Text First Indent"/>
    <w:basedOn w:val="6"/>
    <w:qFormat/>
    <w:uiPriority w:val="0"/>
    <w:pPr>
      <w:autoSpaceDE w:val="0"/>
      <w:autoSpaceDN w:val="0"/>
      <w:adjustRightInd w:val="0"/>
      <w:spacing w:before="154" w:after="0" w:line="360" w:lineRule="auto"/>
      <w:ind w:left="102" w:right="-24" w:rightChars="-10" w:firstLine="425" w:firstLineChars="225"/>
    </w:pPr>
    <w:rPr>
      <w:rFonts w:ascii="Arial" w:hAnsi="Arial" w:eastAsia="仿宋_GB2312"/>
      <w:sz w:val="24"/>
      <w:szCs w:val="32"/>
    </w:rPr>
  </w:style>
  <w:style w:type="paragraph" w:styleId="24">
    <w:name w:val="Body Text First Indent 2"/>
    <w:basedOn w:val="7"/>
    <w:next w:val="23"/>
    <w:link w:val="66"/>
    <w:qFormat/>
    <w:uiPriority w:val="0"/>
    <w:pPr>
      <w:ind w:firstLine="420" w:firstLineChars="200"/>
      <w:jc w:val="left"/>
    </w:pPr>
    <w:rPr>
      <w:rFonts w:ascii="Calibri" w:hAnsi="Calibri" w:eastAsia="Calibri" w:cs="Times New Roman"/>
      <w:kern w:val="0"/>
      <w:sz w:val="22"/>
      <w:szCs w:val="22"/>
    </w:rPr>
  </w:style>
  <w:style w:type="table" w:styleId="26">
    <w:name w:val="Table Grid"/>
    <w:basedOn w:val="2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FollowedHyperlink"/>
    <w:basedOn w:val="27"/>
    <w:qFormat/>
    <w:uiPriority w:val="0"/>
    <w:rPr>
      <w:color w:val="800080"/>
      <w:u w:val="none"/>
    </w:rPr>
  </w:style>
  <w:style w:type="character" w:styleId="30">
    <w:name w:val="Emphasis"/>
    <w:basedOn w:val="27"/>
    <w:qFormat/>
    <w:uiPriority w:val="0"/>
  </w:style>
  <w:style w:type="character" w:styleId="31">
    <w:name w:val="HTML Definition"/>
    <w:basedOn w:val="27"/>
    <w:qFormat/>
    <w:uiPriority w:val="0"/>
  </w:style>
  <w:style w:type="character" w:styleId="32">
    <w:name w:val="HTML Typewriter"/>
    <w:basedOn w:val="27"/>
    <w:qFormat/>
    <w:uiPriority w:val="0"/>
    <w:rPr>
      <w:rFonts w:ascii="monospace" w:hAnsi="monospace" w:eastAsia="monospace" w:cs="monospace"/>
      <w:sz w:val="20"/>
    </w:rPr>
  </w:style>
  <w:style w:type="character" w:styleId="33">
    <w:name w:val="HTML Acronym"/>
    <w:basedOn w:val="27"/>
    <w:qFormat/>
    <w:uiPriority w:val="0"/>
  </w:style>
  <w:style w:type="character" w:styleId="34">
    <w:name w:val="HTML Variable"/>
    <w:basedOn w:val="27"/>
    <w:qFormat/>
    <w:uiPriority w:val="0"/>
  </w:style>
  <w:style w:type="character" w:styleId="35">
    <w:name w:val="Hyperlink"/>
    <w:basedOn w:val="27"/>
    <w:qFormat/>
    <w:uiPriority w:val="99"/>
    <w:rPr>
      <w:color w:val="333333"/>
      <w:u w:val="none"/>
    </w:rPr>
  </w:style>
  <w:style w:type="character" w:styleId="36">
    <w:name w:val="HTML Code"/>
    <w:basedOn w:val="27"/>
    <w:qFormat/>
    <w:uiPriority w:val="0"/>
    <w:rPr>
      <w:rFonts w:hint="default" w:ascii="monospace" w:hAnsi="monospace" w:eastAsia="monospace" w:cs="monospace"/>
      <w:sz w:val="20"/>
    </w:rPr>
  </w:style>
  <w:style w:type="character" w:styleId="37">
    <w:name w:val="HTML Cite"/>
    <w:basedOn w:val="27"/>
    <w:qFormat/>
    <w:uiPriority w:val="0"/>
  </w:style>
  <w:style w:type="character" w:styleId="38">
    <w:name w:val="HTML Keyboard"/>
    <w:basedOn w:val="27"/>
    <w:qFormat/>
    <w:uiPriority w:val="0"/>
    <w:rPr>
      <w:rFonts w:hint="default" w:ascii="monospace" w:hAnsi="monospace" w:eastAsia="monospace" w:cs="monospace"/>
      <w:sz w:val="20"/>
    </w:rPr>
  </w:style>
  <w:style w:type="character" w:styleId="39">
    <w:name w:val="HTML Sample"/>
    <w:basedOn w:val="27"/>
    <w:qFormat/>
    <w:uiPriority w:val="0"/>
    <w:rPr>
      <w:rFonts w:hint="default" w:ascii="monospace" w:hAnsi="monospace" w:eastAsia="monospace" w:cs="monospace"/>
    </w:rPr>
  </w:style>
  <w:style w:type="character" w:customStyle="1" w:styleId="40">
    <w:name w:val="标题 1 Char"/>
    <w:link w:val="2"/>
    <w:qFormat/>
    <w:uiPriority w:val="0"/>
    <w:rPr>
      <w:rFonts w:hint="eastAsia" w:ascii="黑体" w:hAnsi="黑体" w:eastAsia="宋体" w:cs="宋体"/>
      <w:b/>
      <w:color w:val="000000" w:themeColor="text1"/>
      <w:kern w:val="2"/>
      <w:sz w:val="32"/>
      <w:szCs w:val="32"/>
      <w14:textFill>
        <w14:solidFill>
          <w14:schemeClr w14:val="tx1"/>
        </w14:solidFill>
      </w14:textFill>
    </w:rPr>
  </w:style>
  <w:style w:type="paragraph" w:customStyle="1" w:styleId="41">
    <w:name w:val="正文1"/>
    <w:next w:val="1"/>
    <w:qFormat/>
    <w:uiPriority w:val="99"/>
    <w:pPr>
      <w:widowControl w:val="0"/>
      <w:adjustRightInd w:val="0"/>
      <w:spacing w:line="312" w:lineRule="atLeast"/>
      <w:jc w:val="center"/>
    </w:pPr>
    <w:rPr>
      <w:rFonts w:ascii="宋体" w:hAnsi="宋体" w:eastAsia="宋体" w:cs="Times New Roman"/>
      <w:sz w:val="24"/>
      <w:szCs w:val="22"/>
      <w:lang w:val="en-US" w:eastAsia="zh-CN" w:bidi="ar-SA"/>
    </w:rPr>
  </w:style>
  <w:style w:type="paragraph" w:customStyle="1" w:styleId="42">
    <w:name w:val="BodyText"/>
    <w:basedOn w:val="1"/>
    <w:next w:val="43"/>
    <w:qFormat/>
    <w:uiPriority w:val="0"/>
    <w:pPr>
      <w:spacing w:after="120"/>
      <w:jc w:val="left"/>
      <w:textAlignment w:val="baseline"/>
    </w:pPr>
    <w:rPr>
      <w:rFonts w:ascii="Calibri" w:hAnsi="Calibri"/>
      <w:kern w:val="0"/>
      <w:sz w:val="22"/>
      <w:szCs w:val="22"/>
    </w:rPr>
  </w:style>
  <w:style w:type="paragraph" w:customStyle="1" w:styleId="43">
    <w:name w:val="TOC2"/>
    <w:basedOn w:val="1"/>
    <w:next w:val="1"/>
    <w:qFormat/>
    <w:uiPriority w:val="0"/>
    <w:pPr>
      <w:ind w:left="210"/>
      <w:jc w:val="left"/>
      <w:textAlignment w:val="baseline"/>
    </w:pPr>
    <w:rPr>
      <w:rFonts w:ascii="Calibri" w:hAnsi="Calibri"/>
      <w:smallCaps/>
      <w:kern w:val="1"/>
      <w:sz w:val="28"/>
    </w:rPr>
  </w:style>
  <w:style w:type="character" w:customStyle="1" w:styleId="44">
    <w:name w:val="UserStyle_10"/>
    <w:qFormat/>
    <w:uiPriority w:val="0"/>
    <w:rPr>
      <w:rFonts w:asciiTheme="minorHAnsi" w:hAnsiTheme="minorHAnsi" w:eastAsiaTheme="minorEastAsia" w:cstheme="minorBidi"/>
      <w:kern w:val="2"/>
      <w:sz w:val="21"/>
      <w:szCs w:val="24"/>
      <w:lang w:val="en-US" w:eastAsia="zh-CN" w:bidi="ar-SA"/>
    </w:rPr>
  </w:style>
  <w:style w:type="paragraph" w:customStyle="1" w:styleId="45">
    <w:name w:val="段落"/>
    <w:qFormat/>
    <w:uiPriority w:val="0"/>
    <w:pPr>
      <w:adjustRightInd w:val="0"/>
      <w:snapToGrid w:val="0"/>
      <w:spacing w:before="120" w:after="120" w:line="360" w:lineRule="auto"/>
      <w:ind w:firstLine="425" w:firstLineChars="177"/>
    </w:pPr>
    <w:rPr>
      <w:rFonts w:ascii="宋体" w:hAnsi="宋体" w:eastAsia="宋体" w:cs="Times New Roman"/>
      <w:kern w:val="2"/>
      <w:sz w:val="24"/>
      <w:szCs w:val="24"/>
      <w:lang w:val="en-US" w:eastAsia="zh-CN" w:bidi="ar-SA"/>
    </w:rPr>
  </w:style>
  <w:style w:type="character" w:customStyle="1" w:styleId="46">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47">
    <w:name w:val="HtmlNormal"/>
    <w:basedOn w:val="1"/>
    <w:qFormat/>
    <w:uiPriority w:val="0"/>
    <w:pPr>
      <w:spacing w:before="100" w:beforeAutospacing="1" w:after="100" w:afterAutospacing="1"/>
      <w:jc w:val="left"/>
      <w:textAlignment w:val="baseline"/>
    </w:pPr>
    <w:rPr>
      <w:rFonts w:ascii="宋体" w:hAnsi="宋体"/>
      <w:kern w:val="0"/>
      <w:sz w:val="24"/>
    </w:rPr>
  </w:style>
  <w:style w:type="paragraph" w:customStyle="1" w:styleId="48">
    <w:name w:val="xl31"/>
    <w:basedOn w:val="1"/>
    <w:qFormat/>
    <w:uiPriority w:val="0"/>
    <w:pPr>
      <w:spacing w:before="100" w:beforeAutospacing="1" w:after="100" w:afterAutospacing="1"/>
      <w:jc w:val="center"/>
    </w:pPr>
    <w:rPr>
      <w:b/>
      <w:bCs/>
      <w:kern w:val="0"/>
      <w:sz w:val="28"/>
      <w:szCs w:val="28"/>
    </w:rPr>
  </w:style>
  <w:style w:type="character" w:customStyle="1" w:styleId="49">
    <w:name w:val="UserStyle_0"/>
    <w:link w:val="50"/>
    <w:qFormat/>
    <w:uiPriority w:val="0"/>
    <w:rPr>
      <w:rFonts w:ascii="Times New Roman" w:hAnsi="Times New Roman" w:cs="Calibri"/>
      <w:b/>
      <w:bCs/>
      <w:kern w:val="44"/>
      <w:sz w:val="30"/>
      <w:szCs w:val="30"/>
      <w:lang w:val="en-US" w:eastAsia="zh-CN" w:bidi="ar-SA"/>
    </w:rPr>
  </w:style>
  <w:style w:type="paragraph" w:customStyle="1" w:styleId="50">
    <w:name w:val="Heading1"/>
    <w:basedOn w:val="1"/>
    <w:next w:val="1"/>
    <w:link w:val="49"/>
    <w:qFormat/>
    <w:uiPriority w:val="0"/>
    <w:pPr>
      <w:jc w:val="left"/>
      <w:textAlignment w:val="baseline"/>
    </w:pPr>
    <w:rPr>
      <w:rFonts w:ascii="Times New Roman" w:hAnsi="Times New Roman" w:cs="Calibri"/>
      <w:b/>
      <w:bCs/>
      <w:kern w:val="44"/>
      <w:sz w:val="30"/>
      <w:szCs w:val="30"/>
    </w:rPr>
  </w:style>
  <w:style w:type="paragraph" w:customStyle="1" w:styleId="51">
    <w:name w:val="Table Paragraph"/>
    <w:basedOn w:val="1"/>
    <w:qFormat/>
    <w:uiPriority w:val="0"/>
    <w:pPr>
      <w:jc w:val="left"/>
    </w:pPr>
    <w:rPr>
      <w:rFonts w:ascii="Calibri" w:hAnsi="Calibri" w:eastAsia="Calibri" w:cs="Times New Roman"/>
      <w:kern w:val="0"/>
      <w:sz w:val="22"/>
      <w:szCs w:val="22"/>
    </w:rPr>
  </w:style>
  <w:style w:type="paragraph" w:customStyle="1" w:styleId="52">
    <w:name w:val="正文_1"/>
    <w:basedOn w:val="1"/>
    <w:qFormat/>
    <w:uiPriority w:val="0"/>
    <w:rPr>
      <w:rFonts w:ascii="Times New Roman" w:hAnsi="Times New Roman" w:eastAsia="宋体" w:cs="Times New Roman"/>
      <w:szCs w:val="20"/>
    </w:rPr>
  </w:style>
  <w:style w:type="paragraph" w:customStyle="1" w:styleId="53">
    <w:name w:val="UserStyle_18"/>
    <w:basedOn w:val="1"/>
    <w:qFormat/>
    <w:uiPriority w:val="0"/>
    <w:pPr>
      <w:textAlignment w:val="baseline"/>
    </w:pPr>
    <w:rPr>
      <w:rFonts w:ascii="Times New Roman" w:hAnsi="Times New Roman"/>
      <w:szCs w:val="21"/>
    </w:rPr>
  </w:style>
  <w:style w:type="paragraph" w:customStyle="1" w:styleId="54">
    <w:name w:val="BodyText1I"/>
    <w:basedOn w:val="42"/>
    <w:next w:val="1"/>
    <w:qFormat/>
    <w:uiPriority w:val="0"/>
    <w:pPr>
      <w:spacing w:before="154" w:after="0" w:line="360" w:lineRule="auto"/>
      <w:ind w:left="102" w:right="-10" w:rightChars="-10" w:firstLine="425" w:firstLineChars="225"/>
    </w:pPr>
    <w:rPr>
      <w:rFonts w:ascii="Arial" w:hAnsi="Arial" w:eastAsia="仿宋_GB2312"/>
      <w:sz w:val="24"/>
      <w:szCs w:val="24"/>
    </w:rPr>
  </w:style>
  <w:style w:type="paragraph" w:customStyle="1" w:styleId="55">
    <w:name w:val="_Style 3"/>
    <w:basedOn w:val="1"/>
    <w:qFormat/>
    <w:uiPriority w:val="0"/>
    <w:pPr>
      <w:pBdr>
        <w:bottom w:val="single" w:color="auto" w:sz="6" w:space="1"/>
      </w:pBdr>
      <w:jc w:val="center"/>
    </w:pPr>
    <w:rPr>
      <w:rFonts w:ascii="Arial" w:hAnsi="Calibri" w:eastAsia="宋体" w:cs="Times New Roman"/>
      <w:vanish/>
      <w:kern w:val="0"/>
      <w:sz w:val="16"/>
      <w:szCs w:val="22"/>
    </w:rPr>
  </w:style>
  <w:style w:type="paragraph" w:customStyle="1" w:styleId="56">
    <w:name w:val="Body Text First Indent1"/>
    <w:basedOn w:val="6"/>
    <w:qFormat/>
    <w:uiPriority w:val="0"/>
    <w:pPr>
      <w:autoSpaceDE w:val="0"/>
      <w:autoSpaceDN w:val="0"/>
      <w:adjustRightInd w:val="0"/>
      <w:spacing w:line="360" w:lineRule="auto"/>
      <w:ind w:right="-24" w:rightChars="-10" w:firstLine="425" w:firstLineChars="225"/>
    </w:pPr>
    <w:rPr>
      <w:rFonts w:ascii="Arial" w:eastAsia="仿宋_GB2312" w:cs="Arial"/>
      <w:sz w:val="24"/>
      <w:szCs w:val="32"/>
    </w:rPr>
  </w:style>
  <w:style w:type="character" w:customStyle="1" w:styleId="57">
    <w:name w:val="first-child1"/>
    <w:basedOn w:val="27"/>
    <w:qFormat/>
    <w:uiPriority w:val="0"/>
  </w:style>
  <w:style w:type="character" w:customStyle="1" w:styleId="58">
    <w:name w:val="first-child2"/>
    <w:basedOn w:val="27"/>
    <w:qFormat/>
    <w:uiPriority w:val="0"/>
  </w:style>
  <w:style w:type="character" w:customStyle="1" w:styleId="59">
    <w:name w:val="layui-layer-tabnow"/>
    <w:basedOn w:val="27"/>
    <w:qFormat/>
    <w:uiPriority w:val="0"/>
    <w:rPr>
      <w:bdr w:val="single" w:color="CCCCCC" w:sz="6" w:space="0"/>
      <w:shd w:val="clear" w:color="auto" w:fill="FFFFFF"/>
    </w:rPr>
  </w:style>
  <w:style w:type="paragraph" w:customStyle="1" w:styleId="60">
    <w:name w:val="UserStyle_24"/>
    <w:basedOn w:val="1"/>
    <w:qFormat/>
    <w:uiPriority w:val="0"/>
    <w:pPr>
      <w:widowControl/>
      <w:spacing w:before="100" w:beforeAutospacing="1" w:after="100" w:afterAutospacing="1"/>
      <w:jc w:val="center"/>
      <w:textAlignment w:val="baseline"/>
    </w:pPr>
    <w:rPr>
      <w:rFonts w:ascii="Calibri" w:hAnsi="Calibri" w:cs="Calibri"/>
      <w:b/>
      <w:bCs/>
      <w:kern w:val="0"/>
      <w:sz w:val="28"/>
      <w:szCs w:val="28"/>
    </w:rPr>
  </w:style>
  <w:style w:type="paragraph" w:customStyle="1" w:styleId="61">
    <w:name w:val="BodyText1I2"/>
    <w:basedOn w:val="62"/>
    <w:next w:val="54"/>
    <w:qFormat/>
    <w:uiPriority w:val="0"/>
    <w:pPr>
      <w:spacing w:before="100" w:beforeAutospacing="1" w:after="100" w:afterAutospacing="1"/>
      <w:ind w:left="200" w:firstLine="200" w:firstLineChars="200"/>
    </w:pPr>
    <w:rPr>
      <w:rFonts w:ascii="Times New Roman" w:hAnsi="Times New Roman" w:cs="Times New Roman"/>
    </w:rPr>
  </w:style>
  <w:style w:type="paragraph" w:customStyle="1" w:styleId="62">
    <w:name w:val="BodyTextIndent"/>
    <w:basedOn w:val="1"/>
    <w:next w:val="63"/>
    <w:qFormat/>
    <w:uiPriority w:val="0"/>
    <w:pPr>
      <w:ind w:firstLine="645"/>
      <w:textAlignment w:val="baseline"/>
    </w:pPr>
    <w:rPr>
      <w:rFonts w:ascii="楷体_GB2312" w:hAnsi="楷体_GB2312" w:eastAsia="宋体" w:cs="宋体"/>
      <w:sz w:val="32"/>
      <w:szCs w:val="32"/>
    </w:rPr>
  </w:style>
  <w:style w:type="paragraph" w:customStyle="1" w:styleId="63">
    <w:name w:val="EnvelopeReturn"/>
    <w:basedOn w:val="1"/>
    <w:qFormat/>
    <w:uiPriority w:val="0"/>
    <w:pPr>
      <w:snapToGrid w:val="0"/>
      <w:textAlignment w:val="baseline"/>
    </w:pPr>
    <w:rPr>
      <w:rFonts w:ascii="Arial" w:hAnsi="Arial" w:eastAsia="宋体" w:cs="Arial"/>
    </w:rPr>
  </w:style>
  <w:style w:type="paragraph" w:styleId="64">
    <w:name w:val="List Paragraph"/>
    <w:basedOn w:val="1"/>
    <w:unhideWhenUsed/>
    <w:qFormat/>
    <w:uiPriority w:val="99"/>
    <w:pPr>
      <w:ind w:firstLine="420" w:firstLineChars="200"/>
    </w:pPr>
  </w:style>
  <w:style w:type="character" w:customStyle="1" w:styleId="65">
    <w:name w:val="页脚 Char"/>
    <w:basedOn w:val="27"/>
    <w:link w:val="14"/>
    <w:qFormat/>
    <w:uiPriority w:val="99"/>
    <w:rPr>
      <w:rFonts w:asciiTheme="minorHAnsi" w:hAnsiTheme="minorHAnsi" w:eastAsiaTheme="minorEastAsia" w:cstheme="minorBidi"/>
      <w:kern w:val="2"/>
      <w:sz w:val="18"/>
      <w:szCs w:val="24"/>
    </w:rPr>
  </w:style>
  <w:style w:type="character" w:customStyle="1" w:styleId="66">
    <w:name w:val="正文首行缩进 2 Char"/>
    <w:basedOn w:val="27"/>
    <w:link w:val="24"/>
    <w:qFormat/>
    <w:uiPriority w:val="0"/>
    <w:rPr>
      <w:rFonts w:ascii="Calibri" w:hAnsi="Calibri" w:eastAsia="Calibr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uma/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cz</Company>
  <Pages>54</Pages>
  <Words>4296</Words>
  <Characters>4631</Characters>
  <Lines>243</Lines>
  <Paragraphs>68</Paragraphs>
  <TotalTime>10</TotalTime>
  <ScaleCrop>false</ScaleCrop>
  <LinksUpToDate>false</LinksUpToDate>
  <CharactersWithSpaces>4751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2023-07-06T19:53:00Z</dcterms:created>
  <dc:creator>NTKO</dc:creator>
  <cp:lastModifiedBy>suma</cp:lastModifiedBy>
  <cp:lastPrinted>2023-09-04T12:00:00Z</cp:lastPrinted>
  <dcterms:modified xsi:type="dcterms:W3CDTF">2025-08-19T15:08:25Z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E804F03CB250D688DC22A4686CD3A568_43</vt:lpwstr>
  </property>
  <property fmtid="{D5CDD505-2E9C-101B-9397-08002B2CF9AE}" pid="4" name="KSOTemplateDocerSaveRecord">
    <vt:lpwstr>eyJoZGlkIjoiYmFmNjM5ODk1OWEyMmIyNmY3Y2E2Nzg5ZWRiNGNlMmEiLCJ1c2VySWQiOiI3MDg4OTM3NDEifQ==</vt:lpwstr>
  </property>
</Properties>
</file>