
<file path=[Content_Types].xml><?xml version="1.0" encoding="utf-8"?>
<Types xmlns="http://schemas.openxmlformats.org/package/2006/content-types">
  <Default Extension="xml" ContentType="application/xml"/>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576" w:lineRule="exact"/>
        <w:jc w:val="both"/>
      </w:pPr>
    </w:p>
    <w:p>
      <w:pPr>
        <w:spacing w:before="0" w:after="0" w:line="576" w:lineRule="exact"/>
        <w:jc w:val="both"/>
      </w:pPr>
    </w:p>
    <w:p>
      <w:pPr>
        <w:spacing w:before="0" w:after="0" w:line="576" w:lineRule="exact"/>
        <w:jc w:val="center"/>
      </w:pPr>
    </w:p>
    <w:p>
      <w:pPr>
        <w:keepNext w:val="0"/>
        <w:keepLines w:val="0"/>
        <w:pageBreakBefore w:val="0"/>
        <w:widowControl/>
        <w:kinsoku/>
        <w:wordWrap/>
        <w:overflowPunct/>
        <w:topLinePunct w:val="0"/>
        <w:autoSpaceDE/>
        <w:autoSpaceDN/>
        <w:bidi w:val="0"/>
        <w:adjustRightInd/>
        <w:snapToGrid/>
        <w:spacing w:after="0" w:line="800" w:lineRule="exact"/>
        <w:jc w:val="center"/>
        <w:textAlignment w:val="auto"/>
      </w:pPr>
      <w:r>
        <w:rPr>
          <w:rFonts w:ascii="Times New Roman" w:hAnsi="Times New Roman" w:eastAsia="宋体"/>
          <w:b/>
          <w:sz w:val="52"/>
        </w:rPr>
        <w:t>淮南市逐步把永久基本农田</w:t>
      </w:r>
    </w:p>
    <w:p>
      <w:pPr>
        <w:keepNext w:val="0"/>
        <w:keepLines w:val="0"/>
        <w:pageBreakBefore w:val="0"/>
        <w:widowControl/>
        <w:kinsoku/>
        <w:wordWrap/>
        <w:overflowPunct/>
        <w:topLinePunct w:val="0"/>
        <w:autoSpaceDE/>
        <w:autoSpaceDN/>
        <w:bidi w:val="0"/>
        <w:adjustRightInd/>
        <w:snapToGrid/>
        <w:spacing w:after="0" w:line="800" w:lineRule="exact"/>
        <w:jc w:val="center"/>
        <w:textAlignment w:val="auto"/>
      </w:pPr>
      <w:r>
        <w:rPr>
          <w:rFonts w:ascii="Times New Roman" w:hAnsi="Times New Roman" w:eastAsia="宋体"/>
          <w:b/>
          <w:sz w:val="52"/>
        </w:rPr>
        <w:t>建成高标准农田实施方案</w:t>
      </w:r>
    </w:p>
    <w:p>
      <w:pPr>
        <w:keepNext w:val="0"/>
        <w:keepLines w:val="0"/>
        <w:pageBreakBefore w:val="0"/>
        <w:widowControl/>
        <w:kinsoku/>
        <w:wordWrap/>
        <w:overflowPunct/>
        <w:topLinePunct w:val="0"/>
        <w:autoSpaceDE/>
        <w:autoSpaceDN/>
        <w:bidi w:val="0"/>
        <w:adjustRightInd/>
        <w:snapToGrid/>
        <w:spacing w:after="0" w:line="800" w:lineRule="exact"/>
        <w:jc w:val="center"/>
        <w:textAlignment w:val="auto"/>
      </w:pPr>
      <w:r>
        <w:rPr>
          <w:rFonts w:ascii="Times New Roman" w:hAnsi="Times New Roman" w:eastAsia="楷体"/>
          <w:b w:val="0"/>
          <w:sz w:val="44"/>
        </w:rPr>
        <w:t>（</w:t>
      </w:r>
      <w:r>
        <w:rPr>
          <w:rFonts w:hint="eastAsia" w:eastAsia="楷体"/>
          <w:b w:val="0"/>
          <w:sz w:val="44"/>
          <w:lang w:eastAsia="zh-CN"/>
        </w:rPr>
        <w:t>征求意见稿</w:t>
      </w:r>
      <w:r>
        <w:rPr>
          <w:rFonts w:ascii="Times New Roman" w:hAnsi="Times New Roman" w:eastAsia="楷体"/>
          <w:b w:val="0"/>
          <w:sz w:val="44"/>
        </w:rPr>
        <w:t>）</w:t>
      </w:r>
    </w:p>
    <w:p>
      <w:pPr>
        <w:spacing w:before="0" w:after="0" w:line="576" w:lineRule="exact"/>
        <w:jc w:val="center"/>
      </w:pPr>
      <w:r>
        <w:drawing>
          <wp:anchor distT="0" distB="0" distL="114300" distR="114300" simplePos="0" relativeHeight="251660288" behindDoc="0" locked="0" layoutInCell="1" allowOverlap="1">
            <wp:simplePos x="0" y="0"/>
            <wp:positionH relativeFrom="column">
              <wp:posOffset>2053590</wp:posOffset>
            </wp:positionH>
            <wp:positionV relativeFrom="paragraph">
              <wp:posOffset>80010</wp:posOffset>
            </wp:positionV>
            <wp:extent cx="1600200" cy="1539875"/>
            <wp:effectExtent l="0" t="0" r="0" b="3175"/>
            <wp:wrapNone/>
            <wp:docPr id="3" name="IM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IM 1"/>
                    <pic:cNvPicPr>
                      <a:picLocks noChangeAspect="true"/>
                    </pic:cNvPicPr>
                  </pic:nvPicPr>
                  <pic:blipFill>
                    <a:blip r:embed="rId9"/>
                    <a:stretch>
                      <a:fillRect/>
                    </a:stretch>
                  </pic:blipFill>
                  <pic:spPr>
                    <a:xfrm>
                      <a:off x="0" y="0"/>
                      <a:ext cx="1600200" cy="1539875"/>
                    </a:xfrm>
                    <a:prstGeom prst="rect">
                      <a:avLst/>
                    </a:prstGeom>
                    <a:noFill/>
                    <a:ln>
                      <a:noFill/>
                    </a:ln>
                  </pic:spPr>
                </pic:pic>
              </a:graphicData>
            </a:graphic>
          </wp:anchor>
        </w:drawing>
      </w:r>
    </w:p>
    <w:p>
      <w:pPr>
        <w:spacing w:before="0" w:after="0" w:line="576" w:lineRule="exact"/>
        <w:jc w:val="center"/>
      </w:pPr>
    </w:p>
    <w:p>
      <w:pPr>
        <w:spacing w:before="0" w:after="0" w:line="576" w:lineRule="exact"/>
        <w:jc w:val="center"/>
      </w:pPr>
    </w:p>
    <w:p>
      <w:pPr>
        <w:spacing w:before="0" w:after="0" w:line="576" w:lineRule="exact"/>
        <w:jc w:val="center"/>
      </w:pPr>
    </w:p>
    <w:p>
      <w:pPr>
        <w:spacing w:before="0" w:after="0" w:line="576" w:lineRule="exact"/>
        <w:jc w:val="center"/>
      </w:pPr>
    </w:p>
    <w:p>
      <w:pPr>
        <w:spacing w:before="0" w:after="0" w:line="576" w:lineRule="exact"/>
        <w:jc w:val="center"/>
      </w:pPr>
    </w:p>
    <w:p>
      <w:pPr>
        <w:spacing w:before="0" w:after="0" w:line="576" w:lineRule="exact"/>
        <w:jc w:val="center"/>
      </w:pPr>
    </w:p>
    <w:p>
      <w:pPr>
        <w:spacing w:before="0" w:after="0" w:line="576" w:lineRule="exact"/>
        <w:jc w:val="center"/>
      </w:pPr>
    </w:p>
    <w:p>
      <w:pPr>
        <w:spacing w:before="0" w:after="0" w:line="576" w:lineRule="exact"/>
        <w:jc w:val="center"/>
      </w:pPr>
    </w:p>
    <w:p>
      <w:pPr>
        <w:jc w:val="center"/>
        <w:outlineLvl w:val="9"/>
      </w:pPr>
    </w:p>
    <w:p>
      <w:pPr>
        <w:jc w:val="center"/>
      </w:pPr>
    </w:p>
    <w:p>
      <w:pPr>
        <w:jc w:val="center"/>
        <w:outlineLvl w:val="9"/>
      </w:pPr>
    </w:p>
    <w:p>
      <w:pPr>
        <w:spacing w:before="0" w:after="0" w:line="576" w:lineRule="exact"/>
        <w:jc w:val="center"/>
        <w:rPr>
          <w:rFonts w:hint="eastAsia" w:ascii="仿宋" w:hAnsi="仿宋" w:cs="仿宋"/>
          <w:b/>
          <w:bCs/>
          <w:color w:val="auto"/>
          <w:sz w:val="32"/>
          <w:szCs w:val="32"/>
          <w:lang w:val="en-US" w:eastAsia="zh-CN"/>
        </w:rPr>
      </w:pPr>
      <w:r>
        <w:rPr>
          <w:rFonts w:hint="eastAsia" w:ascii="仿宋" w:hAnsi="仿宋" w:cs="仿宋"/>
          <w:b/>
          <w:bCs/>
          <w:color w:val="auto"/>
          <w:sz w:val="32"/>
          <w:szCs w:val="32"/>
          <w:lang w:val="en-US" w:eastAsia="zh-CN"/>
        </w:rPr>
        <w:t>淮南市农业农村局</w:t>
      </w:r>
    </w:p>
    <w:p>
      <w:pPr>
        <w:spacing w:before="0" w:after="0" w:line="576" w:lineRule="exact"/>
        <w:jc w:val="center"/>
      </w:pPr>
      <w:r>
        <w:rPr>
          <w:rFonts w:ascii="Times New Roman" w:hAnsi="Times New Roman" w:eastAsia="楷体"/>
          <w:b w:val="0"/>
          <w:sz w:val="32"/>
        </w:rPr>
        <w:t>二〇二六年</w:t>
      </w:r>
      <w:r>
        <w:rPr>
          <w:rFonts w:hint="eastAsia" w:eastAsia="楷体"/>
          <w:b w:val="0"/>
          <w:sz w:val="32"/>
          <w:lang w:val="en-US" w:eastAsia="zh-CN"/>
        </w:rPr>
        <w:t>十</w:t>
      </w:r>
      <w:r>
        <w:rPr>
          <w:rFonts w:ascii="Times New Roman" w:hAnsi="Times New Roman" w:eastAsia="楷体"/>
          <w:b w:val="0"/>
          <w:sz w:val="32"/>
        </w:rPr>
        <w:t>月</w:t>
      </w:r>
    </w:p>
    <w:p>
      <w:pPr>
        <w:jc w:val="both"/>
        <w:sectPr>
          <w:pgSz w:w="11906" w:h="16838"/>
          <w:pgMar w:top="2098" w:right="1474" w:bottom="1984" w:left="1587" w:header="720" w:footer="720" w:gutter="0"/>
          <w:cols w:space="720" w:num="1"/>
          <w:docGrid w:linePitch="360" w:charSpace="0"/>
        </w:sectPr>
      </w:pPr>
      <w:r>
        <w:br w:type="page"/>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val="0"/>
          <w:sz w:val="32"/>
        </w:rPr>
      </w:pPr>
      <w:r>
        <w:rPr>
          <w:rFonts w:hint="eastAsia" w:ascii="仿宋" w:hAnsi="仿宋" w:eastAsia="仿宋" w:cs="仿宋"/>
          <w:b w:val="0"/>
          <w:sz w:val="32"/>
        </w:rPr>
        <w:t>为深入贯彻</w:t>
      </w:r>
      <w:r>
        <w:rPr>
          <w:rFonts w:hint="eastAsia" w:ascii="仿宋" w:hAnsi="仿宋" w:cs="仿宋"/>
          <w:b w:val="0"/>
          <w:sz w:val="32"/>
          <w:lang w:eastAsia="zh-CN"/>
        </w:rPr>
        <w:t>习近平总书记关于“三农”工作重要论述和考察安徽重要讲话精神，根据《</w:t>
      </w:r>
      <w:r>
        <w:rPr>
          <w:rFonts w:hint="eastAsia" w:ascii="仿宋" w:hAnsi="仿宋" w:eastAsia="仿宋" w:cs="仿宋"/>
          <w:b w:val="0"/>
          <w:sz w:val="32"/>
        </w:rPr>
        <w:t>中共中央办公厅、国务院办公厅</w:t>
      </w:r>
      <w:r>
        <w:rPr>
          <w:rFonts w:hint="eastAsia" w:ascii="仿宋" w:hAnsi="仿宋" w:cs="仿宋"/>
          <w:b w:val="0"/>
          <w:sz w:val="32"/>
          <w:lang w:eastAsia="zh-CN"/>
        </w:rPr>
        <w:t>关于印发</w:t>
      </w:r>
      <w:r>
        <w:rPr>
          <w:rFonts w:hint="eastAsia" w:ascii="仿宋" w:hAnsi="仿宋" w:cs="仿宋"/>
          <w:b w:val="0"/>
          <w:sz w:val="32"/>
          <w:lang w:val="en-US" w:eastAsia="zh-CN"/>
        </w:rPr>
        <w:t>&lt;</w:t>
      </w:r>
      <w:r>
        <w:rPr>
          <w:rFonts w:hint="eastAsia" w:ascii="仿宋" w:hAnsi="仿宋" w:eastAsia="仿宋" w:cs="仿宋"/>
          <w:b w:val="0"/>
          <w:sz w:val="32"/>
        </w:rPr>
        <w:t>逐步把永久基本农田建成高标准农田实施方案</w:t>
      </w:r>
      <w:r>
        <w:rPr>
          <w:rFonts w:hint="eastAsia" w:ascii="仿宋" w:hAnsi="仿宋" w:cs="仿宋"/>
          <w:b w:val="0"/>
          <w:sz w:val="32"/>
          <w:lang w:val="en-US" w:eastAsia="zh-CN"/>
        </w:rPr>
        <w:t>&gt;的通知</w:t>
      </w:r>
      <w:r>
        <w:rPr>
          <w:rFonts w:hint="eastAsia" w:ascii="仿宋" w:hAnsi="仿宋" w:cs="仿宋"/>
          <w:b w:val="0"/>
          <w:sz w:val="32"/>
          <w:lang w:eastAsia="zh-CN"/>
        </w:rPr>
        <w:t>》、《</w:t>
      </w:r>
      <w:r>
        <w:rPr>
          <w:rFonts w:hint="eastAsia" w:ascii="仿宋" w:hAnsi="仿宋" w:eastAsia="仿宋" w:cs="仿宋"/>
          <w:b w:val="0"/>
          <w:sz w:val="32"/>
        </w:rPr>
        <w:t>中共</w:t>
      </w:r>
      <w:r>
        <w:rPr>
          <w:rFonts w:hint="eastAsia" w:ascii="仿宋" w:hAnsi="仿宋" w:cs="仿宋"/>
          <w:b w:val="0"/>
          <w:sz w:val="32"/>
          <w:lang w:eastAsia="zh-CN"/>
        </w:rPr>
        <w:t>安徽省委</w:t>
      </w:r>
      <w:r>
        <w:rPr>
          <w:rFonts w:hint="eastAsia" w:ascii="仿宋" w:hAnsi="仿宋" w:eastAsia="仿宋" w:cs="仿宋"/>
          <w:b w:val="0"/>
          <w:sz w:val="32"/>
        </w:rPr>
        <w:t>办公厅、</w:t>
      </w:r>
      <w:r>
        <w:rPr>
          <w:rFonts w:hint="eastAsia" w:ascii="仿宋" w:hAnsi="仿宋" w:cs="仿宋"/>
          <w:b w:val="0"/>
          <w:sz w:val="32"/>
          <w:lang w:eastAsia="zh-CN"/>
        </w:rPr>
        <w:t>安徽省人民政府</w:t>
      </w:r>
      <w:r>
        <w:rPr>
          <w:rFonts w:hint="eastAsia" w:ascii="仿宋" w:hAnsi="仿宋" w:eastAsia="仿宋" w:cs="仿宋"/>
          <w:b w:val="0"/>
          <w:sz w:val="32"/>
        </w:rPr>
        <w:t>办公厅</w:t>
      </w:r>
      <w:r>
        <w:rPr>
          <w:rFonts w:hint="eastAsia" w:ascii="仿宋" w:hAnsi="仿宋" w:cs="仿宋"/>
          <w:b w:val="0"/>
          <w:sz w:val="32"/>
          <w:lang w:val="en-US" w:eastAsia="zh-CN"/>
        </w:rPr>
        <w:t>&lt;安徽省</w:t>
      </w:r>
      <w:r>
        <w:rPr>
          <w:rFonts w:hint="eastAsia" w:ascii="仿宋" w:hAnsi="仿宋" w:eastAsia="仿宋" w:cs="仿宋"/>
          <w:b w:val="0"/>
          <w:sz w:val="32"/>
        </w:rPr>
        <w:t>逐步把永久基本农田建成高标准农田实施方案</w:t>
      </w:r>
      <w:r>
        <w:rPr>
          <w:rFonts w:hint="eastAsia" w:ascii="仿宋" w:hAnsi="仿宋" w:cs="仿宋"/>
          <w:b w:val="0"/>
          <w:sz w:val="32"/>
          <w:lang w:val="en-US" w:eastAsia="zh-CN"/>
        </w:rPr>
        <w:t>&gt;的通知</w:t>
      </w:r>
      <w:r>
        <w:rPr>
          <w:rFonts w:hint="eastAsia" w:ascii="仿宋" w:hAnsi="仿宋" w:cs="仿宋"/>
          <w:b w:val="0"/>
          <w:sz w:val="32"/>
          <w:lang w:eastAsia="zh-CN"/>
        </w:rPr>
        <w:t>》</w:t>
      </w:r>
      <w:r>
        <w:rPr>
          <w:rFonts w:hint="eastAsia" w:ascii="仿宋" w:hAnsi="仿宋" w:eastAsia="仿宋" w:cs="仿宋"/>
          <w:b w:val="0"/>
          <w:sz w:val="32"/>
        </w:rPr>
        <w:t>要求，</w:t>
      </w:r>
      <w:r>
        <w:rPr>
          <w:rFonts w:hint="eastAsia" w:ascii="仿宋" w:hAnsi="仿宋" w:cs="仿宋"/>
          <w:b w:val="0"/>
          <w:sz w:val="32"/>
          <w:lang w:eastAsia="zh-CN"/>
        </w:rPr>
        <w:t>结合我市实际</w:t>
      </w:r>
      <w:r>
        <w:rPr>
          <w:rFonts w:hint="eastAsia" w:ascii="仿宋" w:hAnsi="仿宋" w:eastAsia="仿宋" w:cs="仿宋"/>
          <w:b w:val="0"/>
          <w:sz w:val="32"/>
        </w:rPr>
        <w:t>，</w:t>
      </w:r>
      <w:r>
        <w:rPr>
          <w:rFonts w:hint="eastAsia" w:ascii="仿宋" w:hAnsi="仿宋" w:cs="仿宋"/>
          <w:b w:val="0"/>
          <w:sz w:val="32"/>
          <w:lang w:eastAsia="zh-CN"/>
        </w:rPr>
        <w:t>制定</w:t>
      </w:r>
      <w:r>
        <w:rPr>
          <w:rFonts w:hint="eastAsia" w:ascii="仿宋" w:hAnsi="仿宋" w:eastAsia="仿宋" w:cs="仿宋"/>
          <w:b w:val="0"/>
          <w:sz w:val="32"/>
        </w:rPr>
        <w:t>本方案。</w:t>
      </w:r>
    </w:p>
    <w:p>
      <w:pPr>
        <w:pStyle w:val="4"/>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lang w:eastAsia="zh-CN"/>
        </w:rPr>
      </w:pPr>
      <w:bookmarkStart w:id="0" w:name="_Toc16375"/>
      <w:r>
        <w:rPr>
          <w:rFonts w:hint="eastAsia" w:ascii="黑体" w:hAnsi="黑体" w:eastAsia="黑体" w:cs="黑体"/>
          <w:b w:val="0"/>
          <w:bCs/>
          <w:color w:val="000000"/>
          <w:sz w:val="32"/>
        </w:rPr>
        <w:t>一、总体</w:t>
      </w:r>
      <w:bookmarkEnd w:id="0"/>
      <w:r>
        <w:rPr>
          <w:rFonts w:hint="eastAsia" w:ascii="黑体" w:hAnsi="黑体" w:eastAsia="黑体" w:cs="黑体"/>
          <w:b w:val="0"/>
          <w:bCs/>
          <w:color w:val="000000"/>
          <w:sz w:val="32"/>
          <w:lang w:val="en-US" w:eastAsia="zh-CN"/>
        </w:rPr>
        <w:t>目标</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 w:hAnsi="仿宋" w:eastAsia="仿宋" w:cs="仿宋"/>
          <w:b w:val="0"/>
          <w:bCs w:val="0"/>
          <w:color w:val="auto"/>
          <w:sz w:val="32"/>
          <w:szCs w:val="22"/>
          <w:lang w:val="en-US" w:eastAsia="en-US" w:bidi="ar-SA"/>
        </w:rPr>
      </w:pPr>
      <w:bookmarkStart w:id="1" w:name="_Toc8556"/>
      <w:r>
        <w:rPr>
          <w:rFonts w:hint="eastAsia" w:ascii="仿宋" w:hAnsi="仿宋" w:eastAsia="仿宋" w:cs="仿宋"/>
          <w:b w:val="0"/>
          <w:bCs w:val="0"/>
          <w:color w:val="auto"/>
          <w:sz w:val="32"/>
          <w:szCs w:val="22"/>
          <w:lang w:val="en-US" w:eastAsia="en-US" w:bidi="ar-SA"/>
        </w:rPr>
        <w:t>全市耕地面积</w:t>
      </w:r>
      <w:r>
        <w:rPr>
          <w:rFonts w:hint="eastAsia" w:ascii="仿宋" w:hAnsi="仿宋" w:eastAsia="仿宋" w:cs="仿宋"/>
          <w:b w:val="0"/>
          <w:bCs w:val="0"/>
          <w:color w:val="auto"/>
          <w:sz w:val="32"/>
          <w:szCs w:val="22"/>
          <w:lang w:val="en-US" w:eastAsia="zh-CN" w:bidi="ar-SA"/>
        </w:rPr>
        <w:t>500.54</w:t>
      </w:r>
      <w:r>
        <w:rPr>
          <w:rFonts w:hint="eastAsia" w:ascii="仿宋" w:hAnsi="仿宋" w:eastAsia="仿宋" w:cs="仿宋"/>
          <w:b w:val="0"/>
          <w:bCs w:val="0"/>
          <w:color w:val="auto"/>
          <w:sz w:val="32"/>
          <w:szCs w:val="22"/>
          <w:lang w:val="en-US" w:eastAsia="en-US" w:bidi="ar-SA"/>
        </w:rPr>
        <w:t>万亩，永久基本农田面积</w:t>
      </w:r>
      <w:r>
        <w:rPr>
          <w:rFonts w:hint="eastAsia" w:ascii="仿宋" w:hAnsi="仿宋" w:eastAsia="仿宋" w:cs="仿宋"/>
          <w:b w:val="0"/>
          <w:bCs w:val="0"/>
          <w:color w:val="auto"/>
          <w:sz w:val="32"/>
          <w:szCs w:val="22"/>
          <w:lang w:val="en-US" w:eastAsia="zh-CN" w:bidi="ar-SA"/>
        </w:rPr>
        <w:t>429.62</w:t>
      </w:r>
      <w:r>
        <w:rPr>
          <w:rFonts w:hint="eastAsia" w:ascii="仿宋" w:hAnsi="仿宋" w:eastAsia="仿宋" w:cs="仿宋"/>
          <w:b w:val="0"/>
          <w:bCs w:val="0"/>
          <w:color w:val="auto"/>
          <w:sz w:val="32"/>
          <w:szCs w:val="22"/>
          <w:lang w:val="en-US" w:eastAsia="en-US" w:bidi="ar-SA"/>
        </w:rPr>
        <w:t>万亩。截至2025年末，累计建成高标准农田349.90万亩</w:t>
      </w:r>
      <w:r>
        <w:rPr>
          <w:rFonts w:hint="eastAsia" w:ascii="仿宋" w:hAnsi="仿宋" w:eastAsia="仿宋" w:cs="仿宋"/>
          <w:b w:val="0"/>
          <w:bCs w:val="0"/>
          <w:color w:val="auto"/>
          <w:sz w:val="32"/>
          <w:szCs w:val="22"/>
          <w:lang w:val="en-US" w:eastAsia="zh-CN" w:bidi="ar-SA"/>
        </w:rPr>
        <w:t>（其中耕地建成面积323.92万亩，</w:t>
      </w:r>
      <w:r>
        <w:rPr>
          <w:rFonts w:hint="eastAsia" w:ascii="仿宋" w:hAnsi="仿宋" w:eastAsia="仿宋" w:cs="仿宋"/>
          <w:b w:val="0"/>
          <w:bCs w:val="0"/>
          <w:color w:val="auto"/>
          <w:sz w:val="32"/>
          <w:szCs w:val="22"/>
          <w:lang w:val="en-US" w:eastAsia="en-US" w:bidi="ar-SA"/>
        </w:rPr>
        <w:t>永久基本农田</w:t>
      </w:r>
      <w:r>
        <w:rPr>
          <w:rFonts w:hint="eastAsia" w:ascii="仿宋" w:hAnsi="仿宋" w:eastAsia="仿宋" w:cs="仿宋"/>
          <w:b w:val="0"/>
          <w:bCs w:val="0"/>
          <w:color w:val="auto"/>
          <w:sz w:val="32"/>
          <w:szCs w:val="22"/>
          <w:lang w:val="en-US" w:eastAsia="zh-CN" w:bidi="ar-SA"/>
        </w:rPr>
        <w:t>建成面积300.61万亩）</w:t>
      </w:r>
      <w:r>
        <w:rPr>
          <w:rFonts w:hint="eastAsia" w:ascii="仿宋" w:hAnsi="仿宋" w:eastAsia="仿宋" w:cs="仿宋"/>
          <w:b w:val="0"/>
          <w:bCs w:val="0"/>
          <w:color w:val="auto"/>
          <w:sz w:val="32"/>
          <w:szCs w:val="22"/>
          <w:lang w:val="en-US" w:eastAsia="en-US" w:bidi="ar-SA"/>
        </w:rPr>
        <w:t>，占全市耕地总面积的</w:t>
      </w:r>
      <w:r>
        <w:rPr>
          <w:rFonts w:hint="eastAsia" w:ascii="仿宋" w:hAnsi="仿宋" w:eastAsia="仿宋" w:cs="仿宋"/>
          <w:b w:val="0"/>
          <w:bCs w:val="0"/>
          <w:color w:val="auto"/>
          <w:sz w:val="32"/>
          <w:szCs w:val="22"/>
          <w:lang w:val="en-US" w:eastAsia="zh-CN" w:bidi="ar-SA"/>
        </w:rPr>
        <w:t>64.71</w:t>
      </w:r>
      <w:r>
        <w:rPr>
          <w:rFonts w:hint="eastAsia" w:ascii="仿宋" w:hAnsi="仿宋" w:eastAsia="仿宋" w:cs="仿宋"/>
          <w:b w:val="0"/>
          <w:bCs w:val="0"/>
          <w:color w:val="auto"/>
          <w:sz w:val="32"/>
          <w:szCs w:val="22"/>
          <w:lang w:val="en-US" w:eastAsia="en-US" w:bidi="ar-SA"/>
        </w:rPr>
        <w:t>%。</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 w:hAnsi="仿宋" w:eastAsia="仿宋" w:cs="仿宋"/>
          <w:b w:val="0"/>
          <w:bCs w:val="0"/>
          <w:color w:val="auto"/>
          <w:sz w:val="32"/>
          <w:szCs w:val="22"/>
          <w:lang w:val="en-US" w:eastAsia="en-US" w:bidi="ar-SA"/>
        </w:rPr>
      </w:pPr>
      <w:r>
        <w:rPr>
          <w:rFonts w:hint="eastAsia" w:ascii="仿宋" w:hAnsi="仿宋" w:eastAsia="仿宋" w:cs="仿宋"/>
          <w:b w:val="0"/>
          <w:bCs w:val="0"/>
          <w:color w:val="auto"/>
          <w:sz w:val="32"/>
          <w:szCs w:val="22"/>
          <w:lang w:val="en-US" w:eastAsia="en-US" w:bidi="ar-SA"/>
        </w:rPr>
        <w:t>到2030年，全市新建高标准农田61万亩、改造提升28万亩，累计建成高标准农田410.90万亩以上，</w:t>
      </w:r>
      <w:r>
        <w:rPr>
          <w:rFonts w:hint="eastAsia" w:ascii="仿宋" w:hAnsi="仿宋" w:cs="仿宋"/>
          <w:b w:val="0"/>
          <w:bCs w:val="0"/>
          <w:color w:val="auto"/>
          <w:sz w:val="32"/>
          <w:szCs w:val="22"/>
          <w:lang w:val="en-US" w:eastAsia="zh-CN" w:bidi="ar-SA"/>
        </w:rPr>
        <w:t>力争将</w:t>
      </w:r>
      <w:r>
        <w:rPr>
          <w:rFonts w:hint="eastAsia" w:ascii="仿宋" w:hAnsi="仿宋" w:eastAsia="仿宋" w:cs="仿宋"/>
          <w:b w:val="0"/>
          <w:bCs w:val="0"/>
          <w:color w:val="auto"/>
          <w:sz w:val="32"/>
          <w:szCs w:val="22"/>
          <w:lang w:val="en-US" w:eastAsia="en-US" w:bidi="ar-SA"/>
        </w:rPr>
        <w:t>寿县、凤台县等粮食产能提升重点县具备条件的永久基本农田基本全部建成高标准农田。</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 w:hAnsi="仿宋" w:eastAsia="仿宋" w:cs="仿宋"/>
          <w:b w:val="0"/>
          <w:bCs w:val="0"/>
          <w:color w:val="auto"/>
          <w:sz w:val="32"/>
          <w:szCs w:val="22"/>
          <w:lang w:val="en-US" w:eastAsia="en-US" w:bidi="ar-SA"/>
        </w:rPr>
      </w:pPr>
      <w:r>
        <w:rPr>
          <w:rFonts w:hint="eastAsia" w:ascii="仿宋" w:hAnsi="仿宋" w:eastAsia="仿宋" w:cs="仿宋"/>
          <w:b w:val="0"/>
          <w:bCs w:val="0"/>
          <w:color w:val="auto"/>
          <w:sz w:val="32"/>
          <w:szCs w:val="22"/>
          <w:lang w:val="en-US" w:eastAsia="en-US" w:bidi="ar-SA"/>
        </w:rPr>
        <w:t>到2035年，新建高标准农田10万亩、改造提升40万亩，力争全市具备条件的永久基本农田全部建成高标准农田。</w:t>
      </w:r>
    </w:p>
    <w:bookmarkEnd w:id="1"/>
    <w:p>
      <w:pPr>
        <w:pStyle w:val="4"/>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color w:val="000000"/>
          <w:sz w:val="32"/>
        </w:rPr>
      </w:pPr>
      <w:bookmarkStart w:id="2" w:name="_Toc19875"/>
      <w:r>
        <w:rPr>
          <w:rFonts w:hint="eastAsia" w:ascii="黑体" w:hAnsi="黑体" w:eastAsia="黑体" w:cs="黑体"/>
          <w:b w:val="0"/>
          <w:bCs/>
          <w:color w:val="000000"/>
          <w:sz w:val="32"/>
        </w:rPr>
        <w:t>二、建设布局</w:t>
      </w:r>
      <w:bookmarkEnd w:id="2"/>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val="0"/>
          <w:sz w:val="32"/>
        </w:rPr>
      </w:pPr>
      <w:r>
        <w:rPr>
          <w:rFonts w:hint="eastAsia" w:ascii="仿宋" w:hAnsi="仿宋" w:eastAsia="仿宋" w:cs="仿宋"/>
          <w:b w:val="0"/>
          <w:sz w:val="32"/>
        </w:rPr>
        <w:t>从</w:t>
      </w:r>
      <w:r>
        <w:rPr>
          <w:rFonts w:hint="eastAsia" w:ascii="仿宋" w:hAnsi="仿宋" w:cs="仿宋"/>
          <w:b w:val="0"/>
          <w:sz w:val="32"/>
          <w:lang w:eastAsia="zh-CN"/>
        </w:rPr>
        <w:t>高标准农田</w:t>
      </w:r>
      <w:r>
        <w:rPr>
          <w:rFonts w:hint="eastAsia" w:ascii="仿宋" w:hAnsi="仿宋" w:eastAsia="仿宋" w:cs="仿宋"/>
          <w:b w:val="0"/>
          <w:sz w:val="32"/>
        </w:rPr>
        <w:t>底数核查情况看，我市永久基本农田中尚未建成高标准农田的地块总体呈现“</w:t>
      </w:r>
      <w:r>
        <w:rPr>
          <w:rFonts w:hint="eastAsia" w:ascii="仿宋" w:hAnsi="仿宋" w:eastAsia="仿宋" w:cs="仿宋"/>
          <w:b/>
          <w:bCs/>
          <w:sz w:val="32"/>
        </w:rPr>
        <w:t>分布较散、单块偏小、插花明显</w:t>
      </w:r>
      <w:r>
        <w:rPr>
          <w:rFonts w:hint="eastAsia" w:ascii="仿宋" w:hAnsi="仿宋" w:eastAsia="仿宋" w:cs="仿宋"/>
          <w:b w:val="0"/>
          <w:sz w:val="32"/>
        </w:rPr>
        <w:t>”的特点，丘陵岗区地块地形起伏较大，部分地块受</w:t>
      </w:r>
      <w:r>
        <w:rPr>
          <w:rFonts w:hint="eastAsia" w:ascii="仿宋" w:hAnsi="仿宋" w:cs="仿宋"/>
          <w:b w:val="0"/>
          <w:sz w:val="32"/>
          <w:lang w:eastAsia="zh-CN"/>
        </w:rPr>
        <w:t>河湖管理范围</w:t>
      </w:r>
      <w:r>
        <w:rPr>
          <w:rFonts w:hint="eastAsia" w:ascii="仿宋" w:hAnsi="仿宋" w:eastAsia="仿宋" w:cs="仿宋"/>
          <w:b w:val="0"/>
          <w:sz w:val="32"/>
        </w:rPr>
        <w:t>、生态保护红线</w:t>
      </w:r>
      <w:r>
        <w:rPr>
          <w:rFonts w:hint="eastAsia" w:ascii="仿宋" w:hAnsi="仿宋" w:cs="仿宋"/>
          <w:b w:val="0"/>
          <w:sz w:val="32"/>
          <w:lang w:eastAsia="zh-CN"/>
        </w:rPr>
        <w:t>、城镇开发边界、</w:t>
      </w:r>
      <w:r>
        <w:rPr>
          <w:rFonts w:hint="eastAsia" w:ascii="仿宋" w:hAnsi="仿宋" w:eastAsia="仿宋" w:cs="仿宋"/>
          <w:b w:val="0"/>
          <w:sz w:val="32"/>
        </w:rPr>
        <w:t>采煤沉陷等因素制约不具备建设条件。</w:t>
      </w:r>
      <w:r>
        <w:rPr>
          <w:rFonts w:hint="eastAsia" w:ascii="仿宋" w:hAnsi="仿宋" w:cs="仿宋"/>
          <w:b w:val="0"/>
          <w:sz w:val="32"/>
          <w:lang w:eastAsia="zh-CN"/>
        </w:rPr>
        <w:t>需</w:t>
      </w:r>
      <w:r>
        <w:rPr>
          <w:rFonts w:hint="eastAsia" w:ascii="仿宋" w:hAnsi="仿宋" w:eastAsia="仿宋" w:cs="仿宋"/>
          <w:b w:val="0"/>
          <w:sz w:val="32"/>
        </w:rPr>
        <w:t>坚持“</w:t>
      </w:r>
      <w:r>
        <w:rPr>
          <w:rFonts w:hint="eastAsia" w:ascii="仿宋" w:hAnsi="仿宋" w:eastAsia="仿宋" w:cs="仿宋"/>
          <w:b/>
          <w:bCs/>
          <w:sz w:val="32"/>
        </w:rPr>
        <w:t>分类甄别、分区施策、有序推进</w:t>
      </w:r>
      <w:r>
        <w:rPr>
          <w:rFonts w:hint="eastAsia" w:ascii="仿宋" w:hAnsi="仿宋" w:eastAsia="仿宋" w:cs="仿宋"/>
          <w:b w:val="0"/>
          <w:sz w:val="32"/>
        </w:rPr>
        <w:t>”，合理确定各区域建设范围和时序，明确优先建设、暂缓建设、禁止建设三类区域。</w:t>
      </w:r>
      <w:bookmarkStart w:id="3" w:name="_Toc2564"/>
    </w:p>
    <w:p>
      <w:pPr>
        <w:pageBreakBefore w:val="0"/>
        <w:widowControl w:val="0"/>
        <w:numPr>
          <w:ilvl w:val="0"/>
          <w:numId w:val="7"/>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楷体_GB2312" w:hAnsi="楷体_GB2312" w:eastAsia="楷体_GB2312" w:cs="楷体_GB2312"/>
          <w:b w:val="0"/>
          <w:bCs/>
          <w:color w:val="000000"/>
          <w:sz w:val="32"/>
        </w:rPr>
        <w:t>优先建设区</w:t>
      </w:r>
      <w:bookmarkEnd w:id="3"/>
      <w:r>
        <w:rPr>
          <w:rFonts w:hint="eastAsia" w:ascii="楷体_GB2312" w:hAnsi="楷体_GB2312" w:eastAsia="楷体_GB2312" w:cs="楷体_GB2312"/>
          <w:b w:val="0"/>
          <w:bCs/>
          <w:color w:val="000000"/>
          <w:sz w:val="32"/>
          <w:lang w:eastAsia="zh-CN"/>
        </w:rPr>
        <w:t>。</w:t>
      </w:r>
      <w:r>
        <w:rPr>
          <w:rFonts w:hint="eastAsia" w:ascii="仿宋" w:hAnsi="仿宋" w:eastAsia="仿宋" w:cs="仿宋"/>
          <w:b w:val="0"/>
          <w:bCs w:val="0"/>
          <w:color w:val="auto"/>
          <w:sz w:val="32"/>
          <w:szCs w:val="22"/>
          <w:lang w:val="en-US" w:eastAsia="en-US" w:bidi="ar-SA"/>
        </w:rPr>
        <w:t>落实粮食产能建设相关规划，聚焦粮油作物大面积单产提升行动，优先在以下区域开展高标准农田建设：一是淮河以北平原区域，包括潘集区、凤台县、毛集实验区等地势平坦、土壤肥沃的产粮区；二是大中型灌区及水利灌溉条件较好区域，包括</w:t>
      </w:r>
      <w:r>
        <w:rPr>
          <w:rFonts w:hint="eastAsia" w:ascii="仿宋" w:hAnsi="仿宋" w:eastAsia="仿宋" w:cs="仿宋"/>
          <w:b w:val="0"/>
          <w:bCs w:val="0"/>
          <w:color w:val="auto"/>
          <w:sz w:val="32"/>
          <w:szCs w:val="22"/>
          <w:lang w:val="en-US" w:eastAsia="zh-CN" w:bidi="ar-SA"/>
        </w:rPr>
        <w:t>淠史杭灌区、茨淮新河灌区</w:t>
      </w:r>
      <w:r>
        <w:rPr>
          <w:rFonts w:hint="eastAsia" w:ascii="仿宋" w:hAnsi="仿宋" w:eastAsia="仿宋" w:cs="仿宋"/>
          <w:b w:val="0"/>
          <w:bCs w:val="0"/>
          <w:color w:val="auto"/>
          <w:sz w:val="32"/>
          <w:szCs w:val="22"/>
          <w:lang w:val="en-US" w:eastAsia="en-US" w:bidi="ar-SA"/>
        </w:rPr>
        <w:t>、永幸河灌区</w:t>
      </w:r>
      <w:r>
        <w:rPr>
          <w:rFonts w:hint="eastAsia" w:ascii="仿宋" w:hAnsi="仿宋" w:eastAsia="仿宋" w:cs="仿宋"/>
          <w:b w:val="0"/>
          <w:bCs w:val="0"/>
          <w:color w:val="auto"/>
          <w:sz w:val="32"/>
          <w:szCs w:val="22"/>
          <w:lang w:val="en-US" w:eastAsia="zh-CN" w:bidi="ar-SA"/>
        </w:rPr>
        <w:t>等灌区</w:t>
      </w:r>
      <w:r>
        <w:rPr>
          <w:rFonts w:hint="eastAsia" w:ascii="仿宋" w:hAnsi="仿宋" w:eastAsia="仿宋" w:cs="仿宋"/>
          <w:b w:val="0"/>
          <w:bCs w:val="0"/>
          <w:color w:val="auto"/>
          <w:sz w:val="32"/>
          <w:szCs w:val="22"/>
          <w:lang w:val="en-US" w:eastAsia="en-US" w:bidi="ar-SA"/>
        </w:rPr>
        <w:t>覆盖范围、引江济淮工程</w:t>
      </w:r>
      <w:r>
        <w:rPr>
          <w:rFonts w:hint="eastAsia" w:ascii="仿宋" w:hAnsi="仿宋" w:eastAsia="仿宋" w:cs="仿宋"/>
          <w:b w:val="0"/>
          <w:bCs w:val="0"/>
          <w:color w:val="auto"/>
          <w:sz w:val="32"/>
          <w:szCs w:val="22"/>
          <w:lang w:val="en-US" w:eastAsia="zh-CN" w:bidi="ar-SA"/>
        </w:rPr>
        <w:t>等</w:t>
      </w:r>
      <w:r>
        <w:rPr>
          <w:rFonts w:hint="eastAsia" w:ascii="仿宋" w:hAnsi="仿宋" w:eastAsia="仿宋" w:cs="仿宋"/>
          <w:b w:val="0"/>
          <w:bCs w:val="0"/>
          <w:color w:val="auto"/>
          <w:sz w:val="32"/>
          <w:szCs w:val="22"/>
          <w:lang w:val="en-US" w:eastAsia="en-US" w:bidi="ar-SA"/>
        </w:rPr>
        <w:t>受益区域，以及沿淮泵站提水灌溉条件较好的沿淮乡镇；三是粮食产能提升重点县和产粮大县，包括寿县、凤台县等粮食产量高、增产潜力大的地区；四是集中连片、田块规整、具备较好建设基础的现代农业示范区和粮食生产功能区。建设范围可不局限于永久基本农田。</w:t>
      </w:r>
      <w:bookmarkStart w:id="4" w:name="_Toc25872"/>
    </w:p>
    <w:p>
      <w:pPr>
        <w:pageBreakBefore w:val="0"/>
        <w:widowControl w:val="0"/>
        <w:numPr>
          <w:ilvl w:val="0"/>
          <w:numId w:val="7"/>
        </w:numPr>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b w:val="0"/>
          <w:sz w:val="32"/>
          <w:lang w:eastAsia="zh-CN"/>
        </w:rPr>
      </w:pPr>
      <w:r>
        <w:rPr>
          <w:rFonts w:hint="eastAsia" w:ascii="仿宋" w:hAnsi="仿宋" w:eastAsia="仿宋" w:cs="仿宋"/>
          <w:b/>
          <w:bCs/>
          <w:color w:val="auto"/>
          <w:sz w:val="32"/>
          <w:szCs w:val="22"/>
          <w:lang w:val="en-US" w:eastAsia="en-US" w:bidi="ar-SA"/>
        </w:rPr>
        <w:t>暂缓建设区</w:t>
      </w:r>
      <w:bookmarkEnd w:id="4"/>
      <w:r>
        <w:rPr>
          <w:rFonts w:hint="eastAsia" w:ascii="仿宋" w:hAnsi="仿宋" w:eastAsia="仿宋" w:cs="仿宋"/>
          <w:b/>
          <w:bCs/>
          <w:color w:val="auto"/>
          <w:sz w:val="32"/>
          <w:szCs w:val="22"/>
          <w:lang w:val="en-US" w:eastAsia="zh-CN" w:bidi="ar-SA"/>
        </w:rPr>
        <w:t>。</w:t>
      </w:r>
      <w:r>
        <w:rPr>
          <w:rFonts w:hint="eastAsia" w:ascii="仿宋" w:hAnsi="仿宋" w:eastAsia="仿宋" w:cs="仿宋"/>
          <w:b w:val="0"/>
          <w:bCs w:val="0"/>
          <w:color w:val="auto"/>
          <w:sz w:val="32"/>
          <w:szCs w:val="22"/>
          <w:lang w:val="en-US" w:eastAsia="en-US" w:bidi="ar-SA"/>
        </w:rPr>
        <w:t>综合考量自然条件和生态保护要求，严格限制在生态脆弱区、内陆滩涂等区域建设高标准农田。对灌溉保障能力不足的耕地、存在水土流失风险的不稳定耕地、不具备建设条件的现状非耕地以及地块高度零散的永久基本农田，暂缓开展高标准农田建设；对采煤沉陷稳沉区域，</w:t>
      </w:r>
      <w:r>
        <w:rPr>
          <w:rFonts w:hint="eastAsia" w:ascii="仿宋" w:hAnsi="仿宋" w:eastAsia="仿宋" w:cs="仿宋"/>
          <w:b w:val="0"/>
          <w:bCs w:val="0"/>
          <w:color w:val="auto"/>
          <w:sz w:val="32"/>
          <w:szCs w:val="22"/>
          <w:lang w:val="en-US" w:eastAsia="zh-CN" w:bidi="ar-SA"/>
        </w:rPr>
        <w:t>待国家</w:t>
      </w:r>
      <w:r>
        <w:rPr>
          <w:rFonts w:hint="eastAsia" w:ascii="仿宋" w:hAnsi="仿宋" w:eastAsia="仿宋" w:cs="仿宋"/>
          <w:b w:val="0"/>
          <w:bCs w:val="0"/>
          <w:color w:val="auto"/>
          <w:sz w:val="32"/>
          <w:szCs w:val="22"/>
          <w:lang w:val="en-US" w:eastAsia="en-US" w:bidi="ar-SA"/>
        </w:rPr>
        <w:t>政策调整后，再统筹推进相关区域建设。</w:t>
      </w:r>
      <w:bookmarkStart w:id="5" w:name="_Toc6673"/>
    </w:p>
    <w:p>
      <w:pPr>
        <w:pageBreakBefore w:val="0"/>
        <w:widowControl w:val="0"/>
        <w:numPr>
          <w:ilvl w:val="0"/>
          <w:numId w:val="7"/>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val="0"/>
          <w:sz w:val="32"/>
          <w:lang w:eastAsia="zh-CN"/>
        </w:rPr>
      </w:pPr>
      <w:r>
        <w:rPr>
          <w:rFonts w:hint="eastAsia" w:ascii="楷体_GB2312" w:hAnsi="楷体_GB2312" w:eastAsia="楷体_GB2312" w:cs="楷体_GB2312"/>
          <w:b w:val="0"/>
          <w:bCs/>
          <w:color w:val="000000"/>
          <w:sz w:val="32"/>
          <w:szCs w:val="22"/>
          <w:lang w:val="en-US" w:eastAsia="en-US" w:bidi="ar-SA"/>
        </w:rPr>
        <w:t>禁止建设区</w:t>
      </w:r>
      <w:bookmarkEnd w:id="5"/>
      <w:r>
        <w:rPr>
          <w:rFonts w:hint="eastAsia" w:ascii="楷体_GB2312" w:hAnsi="楷体_GB2312" w:eastAsia="楷体_GB2312" w:cs="楷体_GB2312"/>
          <w:b w:val="0"/>
          <w:bCs/>
          <w:color w:val="000000"/>
          <w:sz w:val="32"/>
          <w:szCs w:val="22"/>
          <w:lang w:val="en-US" w:eastAsia="zh-CN" w:bidi="ar-SA"/>
        </w:rPr>
        <w:t>。</w:t>
      </w:r>
      <w:r>
        <w:rPr>
          <w:rFonts w:hint="eastAsia" w:ascii="仿宋" w:hAnsi="仿宋" w:eastAsia="仿宋" w:cs="仿宋"/>
          <w:b w:val="0"/>
          <w:bCs w:val="0"/>
          <w:color w:val="auto"/>
          <w:sz w:val="32"/>
          <w:szCs w:val="22"/>
          <w:lang w:val="en-US" w:eastAsia="en-US" w:bidi="ar-SA"/>
        </w:rPr>
        <w:t>严禁在25度以上坡耕地、严格管控类耕地、生态保护红线（红线内集中连片梯田或与保护对象共生的连片耕地除外）、饮用水水源一级保护区、河湖管理范围</w:t>
      </w:r>
      <w:r>
        <w:rPr>
          <w:rFonts w:hint="eastAsia" w:ascii="仿宋" w:hAnsi="仿宋" w:eastAsia="仿宋" w:cs="仿宋"/>
          <w:b w:val="0"/>
          <w:bCs w:val="0"/>
          <w:color w:val="auto"/>
          <w:sz w:val="32"/>
          <w:szCs w:val="22"/>
          <w:lang w:val="en-US" w:eastAsia="zh-CN" w:bidi="ar-SA"/>
        </w:rPr>
        <w:t>、水利工程管理</w:t>
      </w:r>
      <w:r>
        <w:rPr>
          <w:rFonts w:hint="eastAsia" w:ascii="仿宋" w:hAnsi="仿宋" w:cs="仿宋"/>
          <w:b w:val="0"/>
          <w:bCs w:val="0"/>
          <w:color w:val="auto"/>
          <w:sz w:val="32"/>
          <w:szCs w:val="22"/>
          <w:lang w:val="en-US" w:eastAsia="zh-CN" w:bidi="ar-SA"/>
        </w:rPr>
        <w:t>保护</w:t>
      </w:r>
      <w:r>
        <w:rPr>
          <w:rFonts w:hint="eastAsia" w:ascii="仿宋" w:hAnsi="仿宋" w:eastAsia="仿宋" w:cs="仿宋"/>
          <w:b w:val="0"/>
          <w:bCs w:val="0"/>
          <w:color w:val="auto"/>
          <w:sz w:val="32"/>
          <w:szCs w:val="22"/>
          <w:lang w:val="en-US" w:eastAsia="zh-CN" w:bidi="ar-SA"/>
        </w:rPr>
        <w:t>范围</w:t>
      </w:r>
      <w:r>
        <w:rPr>
          <w:rFonts w:hint="eastAsia" w:ascii="仿宋" w:hAnsi="仿宋" w:eastAsia="仿宋" w:cs="仿宋"/>
          <w:b w:val="0"/>
          <w:bCs w:val="0"/>
          <w:color w:val="auto"/>
          <w:sz w:val="32"/>
          <w:szCs w:val="22"/>
          <w:lang w:val="en-US" w:eastAsia="en-US" w:bidi="ar-SA"/>
        </w:rPr>
        <w:t>、退耕还林还草还湖还牧区域开展高标准农田建设</w:t>
      </w:r>
      <w:bookmarkStart w:id="6" w:name="_Toc21715"/>
      <w:r>
        <w:rPr>
          <w:rFonts w:hint="eastAsia" w:ascii="仿宋" w:hAnsi="仿宋" w:eastAsia="仿宋" w:cs="仿宋"/>
          <w:b w:val="0"/>
          <w:bCs w:val="0"/>
          <w:color w:val="auto"/>
          <w:sz w:val="32"/>
          <w:szCs w:val="22"/>
          <w:lang w:val="en-US" w:eastAsia="zh-CN" w:bidi="ar-SA"/>
        </w:rPr>
        <w:t>。</w:t>
      </w:r>
    </w:p>
    <w:p>
      <w:pPr>
        <w:pStyle w:val="4"/>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color w:val="000000"/>
          <w:sz w:val="32"/>
        </w:rPr>
      </w:pPr>
      <w:r>
        <w:rPr>
          <w:rFonts w:hint="eastAsia" w:ascii="黑体" w:hAnsi="黑体" w:eastAsia="黑体" w:cs="黑体"/>
          <w:b w:val="0"/>
          <w:bCs/>
          <w:color w:val="000000"/>
          <w:sz w:val="32"/>
        </w:rPr>
        <w:t>三、建设分区及时序安排</w:t>
      </w:r>
      <w:bookmarkEnd w:id="6"/>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val="0"/>
          <w:sz w:val="32"/>
        </w:rPr>
      </w:pPr>
      <w:bookmarkStart w:id="7" w:name="_Toc28741"/>
      <w:r>
        <w:rPr>
          <w:rFonts w:hint="eastAsia" w:ascii="仿宋" w:hAnsi="仿宋" w:eastAsia="仿宋" w:cs="仿宋"/>
          <w:b w:val="0"/>
          <w:bCs w:val="0"/>
          <w:color w:val="auto"/>
          <w:sz w:val="32"/>
          <w:szCs w:val="22"/>
          <w:lang w:val="en-US" w:eastAsia="zh-CN" w:bidi="ar-SA"/>
        </w:rPr>
        <w:t>根据区域资源禀赋、地理特征等因素，全市划分为</w:t>
      </w:r>
      <w:r>
        <w:rPr>
          <w:rFonts w:hint="eastAsia" w:ascii="仿宋" w:hAnsi="仿宋" w:eastAsia="仿宋" w:cs="仿宋"/>
          <w:b w:val="0"/>
          <w:bCs w:val="0"/>
          <w:color w:val="auto"/>
          <w:sz w:val="32"/>
          <w:szCs w:val="22"/>
          <w:lang w:val="en-US" w:eastAsia="en-US" w:bidi="ar-SA"/>
        </w:rPr>
        <w:t>淮北平原区、江淮丘陵区两大建设区域</w:t>
      </w:r>
      <w:r>
        <w:rPr>
          <w:rFonts w:hint="eastAsia" w:ascii="仿宋" w:hAnsi="仿宋" w:eastAsia="仿宋" w:cs="仿宋"/>
          <w:b w:val="0"/>
          <w:bCs w:val="0"/>
          <w:color w:val="auto"/>
          <w:sz w:val="32"/>
          <w:szCs w:val="22"/>
          <w:lang w:val="en-US" w:eastAsia="zh-CN" w:bidi="ar-SA"/>
        </w:rPr>
        <w:t>，同时结合</w:t>
      </w:r>
      <w:r>
        <w:rPr>
          <w:rFonts w:hint="eastAsia" w:ascii="仿宋" w:hAnsi="仿宋" w:eastAsia="仿宋" w:cs="仿宋"/>
          <w:b w:val="0"/>
          <w:bCs w:val="0"/>
          <w:color w:val="auto"/>
          <w:sz w:val="32"/>
          <w:szCs w:val="22"/>
          <w:lang w:val="en-US" w:eastAsia="en-US" w:bidi="ar-SA"/>
        </w:rPr>
        <w:t>我市采煤沉陷区分布特点，将采煤沉陷区</w:t>
      </w:r>
      <w:r>
        <w:rPr>
          <w:rFonts w:hint="eastAsia" w:ascii="仿宋" w:hAnsi="仿宋" w:eastAsia="仿宋" w:cs="仿宋"/>
          <w:b w:val="0"/>
          <w:bCs w:val="0"/>
          <w:color w:val="auto"/>
          <w:sz w:val="32"/>
          <w:szCs w:val="22"/>
          <w:lang w:val="en-US" w:eastAsia="zh-CN" w:bidi="ar-SA"/>
        </w:rPr>
        <w:t>稳沉区域作为后备建设区域，</w:t>
      </w:r>
      <w:r>
        <w:rPr>
          <w:rFonts w:hint="eastAsia" w:ascii="仿宋" w:hAnsi="仿宋" w:eastAsia="仿宋" w:cs="仿宋"/>
          <w:b w:val="0"/>
          <w:bCs w:val="0"/>
          <w:color w:val="auto"/>
          <w:sz w:val="32"/>
          <w:szCs w:val="22"/>
          <w:lang w:val="en-US" w:eastAsia="en-US" w:bidi="ar-SA"/>
        </w:rPr>
        <w:t>政策允许后统筹布局高标准农田建设。</w:t>
      </w:r>
      <w:r>
        <w:rPr>
          <w:rFonts w:hint="eastAsia" w:ascii="仿宋" w:hAnsi="仿宋" w:eastAsia="仿宋" w:cs="仿宋"/>
          <w:b w:val="0"/>
          <w:bCs w:val="0"/>
          <w:color w:val="auto"/>
          <w:sz w:val="32"/>
          <w:szCs w:val="22"/>
          <w:lang w:val="en-US" w:eastAsia="zh-CN" w:bidi="ar-SA"/>
        </w:rPr>
        <w:t>结合国家发改委超长期特别国债项目任务申报、农业农村部中央财政补助项目任务争取，</w:t>
      </w:r>
      <w:r>
        <w:rPr>
          <w:rFonts w:hint="eastAsia" w:ascii="仿宋" w:hAnsi="仿宋" w:cs="仿宋"/>
          <w:b w:val="0"/>
          <w:bCs w:val="0"/>
          <w:color w:val="auto"/>
          <w:sz w:val="32"/>
          <w:szCs w:val="22"/>
          <w:lang w:val="en-US" w:eastAsia="zh-CN" w:bidi="ar-SA"/>
        </w:rPr>
        <w:t>明确</w:t>
      </w:r>
      <w:r>
        <w:rPr>
          <w:rFonts w:hint="eastAsia" w:ascii="仿宋" w:hAnsi="仿宋" w:eastAsia="仿宋" w:cs="仿宋"/>
          <w:b w:val="0"/>
          <w:sz w:val="32"/>
        </w:rPr>
        <w:t>“近期重点攻坚、远期全面完成”的总体</w:t>
      </w:r>
      <w:r>
        <w:rPr>
          <w:rFonts w:hint="eastAsia" w:ascii="仿宋" w:hAnsi="仿宋" w:cs="仿宋"/>
          <w:b w:val="0"/>
          <w:sz w:val="32"/>
          <w:lang w:eastAsia="zh-CN"/>
        </w:rPr>
        <w:t>工作</w:t>
      </w:r>
      <w:r>
        <w:rPr>
          <w:rFonts w:hint="eastAsia" w:ascii="仿宋" w:hAnsi="仿宋" w:eastAsia="仿宋" w:cs="仿宋"/>
          <w:b w:val="0"/>
          <w:sz w:val="32"/>
        </w:rPr>
        <w:t>思路，分</w:t>
      </w:r>
      <w:r>
        <w:rPr>
          <w:rFonts w:hint="eastAsia" w:ascii="仿宋" w:hAnsi="仿宋" w:cs="仿宋"/>
          <w:b w:val="0"/>
          <w:sz w:val="32"/>
          <w:lang w:eastAsia="zh-CN"/>
        </w:rPr>
        <w:t>近期、远期</w:t>
      </w:r>
      <w:r>
        <w:rPr>
          <w:rFonts w:hint="eastAsia" w:ascii="仿宋" w:hAnsi="仿宋" w:eastAsia="仿宋" w:cs="仿宋"/>
          <w:b w:val="0"/>
          <w:sz w:val="32"/>
        </w:rPr>
        <w:t>两个阶段组织实施。</w:t>
      </w:r>
    </w:p>
    <w:p>
      <w:pPr>
        <w:pStyle w:val="2"/>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1"/>
        <w:rPr>
          <w:rFonts w:hint="eastAsia" w:ascii="楷体_GB2312" w:hAnsi="楷体_GB2312" w:eastAsia="楷体_GB2312" w:cs="楷体_GB2312"/>
          <w:b w:val="0"/>
          <w:bCs w:val="0"/>
          <w:color w:val="000000"/>
          <w:sz w:val="32"/>
        </w:rPr>
      </w:pPr>
      <w:r>
        <w:rPr>
          <w:rFonts w:hint="eastAsia" w:ascii="楷体_GB2312" w:hAnsi="楷体_GB2312" w:eastAsia="楷体_GB2312" w:cs="楷体_GB2312"/>
          <w:b w:val="0"/>
          <w:bCs w:val="0"/>
          <w:color w:val="000000"/>
          <w:sz w:val="32"/>
          <w:lang w:eastAsia="zh-CN"/>
        </w:rPr>
        <w:t>（一）</w:t>
      </w:r>
      <w:r>
        <w:rPr>
          <w:rFonts w:hint="eastAsia" w:ascii="楷体_GB2312" w:hAnsi="楷体_GB2312" w:eastAsia="楷体_GB2312" w:cs="楷体_GB2312"/>
          <w:b w:val="0"/>
          <w:bCs w:val="0"/>
          <w:color w:val="000000"/>
          <w:sz w:val="32"/>
        </w:rPr>
        <w:t>建设分区</w:t>
      </w:r>
      <w:bookmarkEnd w:id="7"/>
    </w:p>
    <w:p>
      <w:pPr>
        <w:pageBreakBefore w:val="0"/>
        <w:widowControl w:val="0"/>
        <w:numPr>
          <w:ilvl w:val="0"/>
          <w:numId w:val="0"/>
        </w:numPr>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仿宋" w:hAnsi="仿宋" w:cs="仿宋"/>
          <w:b/>
          <w:color w:val="000000"/>
          <w:sz w:val="32"/>
          <w:lang w:val="en-US" w:eastAsia="zh-CN"/>
        </w:rPr>
        <w:t>1.</w:t>
      </w:r>
      <w:r>
        <w:rPr>
          <w:rFonts w:hint="eastAsia" w:ascii="仿宋" w:hAnsi="仿宋" w:eastAsia="仿宋" w:cs="仿宋"/>
          <w:b/>
          <w:color w:val="000000"/>
          <w:sz w:val="32"/>
        </w:rPr>
        <w:t>淮北平原区</w:t>
      </w:r>
      <w:r>
        <w:rPr>
          <w:rFonts w:hint="eastAsia" w:ascii="仿宋" w:hAnsi="仿宋" w:eastAsia="仿宋" w:cs="仿宋"/>
          <w:b/>
          <w:color w:val="000000"/>
          <w:sz w:val="32"/>
          <w:lang w:eastAsia="zh-CN"/>
        </w:rPr>
        <w:t>。</w:t>
      </w:r>
      <w:r>
        <w:rPr>
          <w:rFonts w:hint="eastAsia" w:ascii="仿宋" w:hAnsi="仿宋" w:eastAsia="仿宋" w:cs="仿宋"/>
          <w:b w:val="0"/>
          <w:bCs w:val="0"/>
          <w:color w:val="auto"/>
          <w:sz w:val="32"/>
          <w:szCs w:val="22"/>
          <w:lang w:val="en-US" w:eastAsia="en-US" w:bidi="ar-SA"/>
        </w:rPr>
        <w:t>包括潘集区、凤台县、毛集实验区等淮河以北区域及大通区、田家庵区、谢家集区、八公山区部分地势平坦淮河以南区域。区域内耕地</w:t>
      </w:r>
      <w:r>
        <w:rPr>
          <w:rFonts w:hint="eastAsia" w:ascii="仿宋" w:hAnsi="仿宋" w:eastAsia="仿宋" w:cs="仿宋"/>
          <w:b w:val="0"/>
          <w:bCs w:val="0"/>
          <w:color w:val="auto"/>
          <w:sz w:val="32"/>
          <w:szCs w:val="22"/>
          <w:lang w:val="en-US" w:eastAsia="zh-CN" w:bidi="ar-SA"/>
        </w:rPr>
        <w:t>相对</w:t>
      </w:r>
      <w:r>
        <w:rPr>
          <w:rFonts w:hint="eastAsia" w:ascii="仿宋" w:hAnsi="仿宋" w:eastAsia="仿宋" w:cs="仿宋"/>
          <w:b w:val="0"/>
          <w:bCs w:val="0"/>
          <w:color w:val="auto"/>
          <w:sz w:val="32"/>
          <w:szCs w:val="22"/>
          <w:lang w:val="en-US" w:eastAsia="en-US" w:bidi="ar-SA"/>
        </w:rPr>
        <w:t>集中连片、水源条件较好</w:t>
      </w:r>
      <w:r>
        <w:rPr>
          <w:rFonts w:hint="eastAsia" w:ascii="仿宋" w:hAnsi="仿宋" w:eastAsia="仿宋" w:cs="仿宋"/>
          <w:b w:val="0"/>
          <w:bCs w:val="0"/>
          <w:color w:val="auto"/>
          <w:sz w:val="32"/>
          <w:szCs w:val="22"/>
          <w:lang w:val="en-US" w:eastAsia="zh-CN" w:bidi="ar-SA"/>
        </w:rPr>
        <w:t>，建设重点为</w:t>
      </w:r>
      <w:r>
        <w:rPr>
          <w:rFonts w:hint="eastAsia" w:ascii="仿宋" w:hAnsi="仿宋" w:eastAsia="仿宋" w:cs="仿宋"/>
          <w:b w:val="0"/>
          <w:bCs w:val="0"/>
          <w:color w:val="auto"/>
          <w:sz w:val="32"/>
          <w:szCs w:val="22"/>
          <w:lang w:val="en-US" w:eastAsia="en-US" w:bidi="ar-SA"/>
        </w:rPr>
        <w:t>实施灌排设施配套、田间道路硬化等工程</w:t>
      </w:r>
      <w:r>
        <w:rPr>
          <w:rFonts w:hint="eastAsia" w:ascii="仿宋" w:hAnsi="仿宋" w:eastAsia="仿宋" w:cs="仿宋"/>
          <w:b w:val="0"/>
          <w:bCs w:val="0"/>
          <w:color w:val="auto"/>
          <w:sz w:val="32"/>
          <w:szCs w:val="22"/>
          <w:lang w:val="en-US" w:eastAsia="zh-CN" w:bidi="ar-SA"/>
        </w:rPr>
        <w:t>，适当同步实施田块归并；</w:t>
      </w:r>
      <w:r>
        <w:rPr>
          <w:rFonts w:hint="eastAsia" w:ascii="仿宋" w:hAnsi="仿宋" w:eastAsia="仿宋" w:cs="仿宋"/>
          <w:b w:val="0"/>
          <w:bCs w:val="0"/>
          <w:color w:val="auto"/>
          <w:sz w:val="32"/>
          <w:szCs w:val="22"/>
          <w:lang w:val="en-US" w:eastAsia="en-US" w:bidi="ar-SA"/>
        </w:rPr>
        <w:t>衔接大中型灌区</w:t>
      </w:r>
      <w:r>
        <w:rPr>
          <w:rFonts w:hint="eastAsia" w:ascii="仿宋" w:hAnsi="仿宋" w:eastAsia="仿宋" w:cs="仿宋"/>
          <w:b w:val="0"/>
          <w:bCs w:val="0"/>
          <w:color w:val="auto"/>
          <w:sz w:val="32"/>
          <w:szCs w:val="22"/>
          <w:lang w:val="en-US" w:eastAsia="zh-CN" w:bidi="ar-SA"/>
        </w:rPr>
        <w:t>建设</w:t>
      </w:r>
      <w:r>
        <w:rPr>
          <w:rFonts w:hint="eastAsia" w:ascii="仿宋" w:hAnsi="仿宋" w:eastAsia="仿宋" w:cs="仿宋"/>
          <w:b w:val="0"/>
          <w:bCs w:val="0"/>
          <w:color w:val="auto"/>
          <w:sz w:val="32"/>
          <w:szCs w:val="22"/>
          <w:lang w:val="en-US" w:eastAsia="en-US" w:bidi="ar-SA"/>
        </w:rPr>
        <w:t>，依托永幸河灌区、</w:t>
      </w:r>
      <w:r>
        <w:rPr>
          <w:rFonts w:hint="eastAsia" w:ascii="仿宋" w:hAnsi="仿宋" w:eastAsia="仿宋" w:cs="仿宋"/>
          <w:b w:val="0"/>
          <w:bCs w:val="0"/>
          <w:color w:val="auto"/>
          <w:sz w:val="32"/>
          <w:szCs w:val="22"/>
          <w:lang w:val="en-US" w:eastAsia="zh-CN" w:bidi="ar-SA"/>
        </w:rPr>
        <w:t>淠史杭灌区、茨淮新河灌区等灌区</w:t>
      </w:r>
      <w:r>
        <w:rPr>
          <w:rFonts w:hint="eastAsia" w:ascii="仿宋" w:hAnsi="仿宋" w:eastAsia="仿宋" w:cs="仿宋"/>
          <w:b w:val="0"/>
          <w:bCs w:val="0"/>
          <w:color w:val="auto"/>
          <w:sz w:val="32"/>
          <w:szCs w:val="22"/>
          <w:lang w:val="en-US" w:eastAsia="en-US" w:bidi="ar-SA"/>
        </w:rPr>
        <w:t>水源，完善“干渠—支渠—斗农渠”灌排体系，</w:t>
      </w:r>
      <w:r>
        <w:rPr>
          <w:rFonts w:hint="eastAsia" w:ascii="仿宋" w:hAnsi="仿宋" w:eastAsia="仿宋" w:cs="仿宋"/>
          <w:b w:val="0"/>
          <w:bCs w:val="0"/>
          <w:color w:val="auto"/>
          <w:sz w:val="32"/>
          <w:szCs w:val="22"/>
          <w:lang w:val="en-US" w:eastAsia="zh-CN" w:bidi="ar-SA"/>
        </w:rPr>
        <w:t>提升灌排保障能力和农业用水效率</w:t>
      </w:r>
      <w:r>
        <w:rPr>
          <w:rFonts w:hint="eastAsia" w:ascii="仿宋" w:hAnsi="仿宋" w:eastAsia="仿宋" w:cs="仿宋"/>
          <w:b w:val="0"/>
          <w:bCs w:val="0"/>
          <w:color w:val="auto"/>
          <w:sz w:val="32"/>
          <w:szCs w:val="22"/>
          <w:lang w:val="en-US" w:eastAsia="en-US" w:bidi="ar-SA"/>
        </w:rPr>
        <w:t>。</w:t>
      </w:r>
    </w:p>
    <w:p>
      <w:pPr>
        <w:pageBreakBefore w:val="0"/>
        <w:widowControl w:val="0"/>
        <w:numPr>
          <w:ilvl w:val="0"/>
          <w:numId w:val="0"/>
        </w:numPr>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b w:val="0"/>
          <w:bCs w:val="0"/>
          <w:color w:val="auto"/>
          <w:sz w:val="32"/>
          <w:szCs w:val="22"/>
          <w:lang w:val="en-US" w:eastAsia="zh-CN" w:bidi="ar-SA"/>
        </w:rPr>
      </w:pPr>
      <w:r>
        <w:rPr>
          <w:rFonts w:hint="eastAsia" w:ascii="仿宋" w:hAnsi="仿宋" w:eastAsia="仿宋" w:cs="仿宋"/>
          <w:b/>
          <w:color w:val="000000"/>
          <w:sz w:val="32"/>
        </w:rPr>
        <w:t>2.江淮丘陵区</w:t>
      </w:r>
      <w:r>
        <w:rPr>
          <w:rFonts w:hint="eastAsia" w:ascii="仿宋" w:hAnsi="仿宋" w:eastAsia="仿宋" w:cs="仿宋"/>
          <w:b/>
          <w:color w:val="000000"/>
          <w:sz w:val="32"/>
          <w:lang w:eastAsia="zh-CN"/>
        </w:rPr>
        <w:t>。</w:t>
      </w:r>
      <w:r>
        <w:rPr>
          <w:rFonts w:hint="eastAsia" w:ascii="仿宋" w:hAnsi="仿宋" w:eastAsia="仿宋" w:cs="仿宋"/>
          <w:b w:val="0"/>
          <w:bCs w:val="0"/>
          <w:color w:val="auto"/>
          <w:sz w:val="32"/>
          <w:szCs w:val="22"/>
          <w:lang w:val="en-US" w:eastAsia="zh-CN" w:bidi="ar-SA"/>
        </w:rPr>
        <w:t>包括寿县全域以及大通区、田家庵区、谢家集区、八公山区等淮河以南存在丘陵岗地区域，该区域内田块零散、高低不平、灌溉水源相对不足。建设重点为推进田块整治与零散地块整合，因地制宜修筑水平梯田</w:t>
      </w:r>
      <w:r>
        <w:rPr>
          <w:rFonts w:hint="eastAsia" w:ascii="仿宋" w:hAnsi="仿宋" w:cs="仿宋"/>
          <w:b w:val="0"/>
          <w:bCs w:val="0"/>
          <w:color w:val="auto"/>
          <w:sz w:val="32"/>
          <w:szCs w:val="22"/>
          <w:lang w:val="en-US" w:eastAsia="zh-CN" w:bidi="ar-SA"/>
        </w:rPr>
        <w:t>；在充分论证其必要性、可行性、安全性前提下，进一步</w:t>
      </w:r>
      <w:r>
        <w:rPr>
          <w:rFonts w:hint="eastAsia" w:ascii="仿宋" w:hAnsi="仿宋" w:eastAsia="仿宋" w:cs="仿宋"/>
          <w:b w:val="0"/>
          <w:bCs w:val="0"/>
          <w:color w:val="auto"/>
          <w:sz w:val="32"/>
          <w:szCs w:val="22"/>
          <w:lang w:val="en-US" w:eastAsia="zh-CN" w:bidi="ar-SA"/>
        </w:rPr>
        <w:t>加强当家塘、蓄水堰、提水泵站等水源工程建设，整修田间沟渠，提高灌溉保证率</w:t>
      </w:r>
      <w:r>
        <w:rPr>
          <w:rFonts w:hint="eastAsia" w:ascii="仿宋" w:hAnsi="仿宋" w:cs="仿宋"/>
          <w:b w:val="0"/>
          <w:bCs w:val="0"/>
          <w:color w:val="auto"/>
          <w:sz w:val="32"/>
          <w:szCs w:val="22"/>
          <w:lang w:val="en-US" w:eastAsia="zh-CN" w:bidi="ar-SA"/>
        </w:rPr>
        <w:t>；</w:t>
      </w:r>
      <w:r>
        <w:rPr>
          <w:rFonts w:hint="eastAsia" w:ascii="仿宋" w:hAnsi="仿宋" w:eastAsia="仿宋" w:cs="仿宋"/>
          <w:b w:val="0"/>
          <w:bCs w:val="0"/>
          <w:color w:val="auto"/>
          <w:sz w:val="32"/>
          <w:szCs w:val="22"/>
          <w:lang w:val="en-US" w:eastAsia="zh-CN" w:bidi="ar-SA"/>
        </w:rPr>
        <w:t>同步实施土壤改良和地力提升，改善丘陵岗地耕地生产条件。</w:t>
      </w:r>
    </w:p>
    <w:p>
      <w:pPr>
        <w:pageBreakBefore w:val="0"/>
        <w:widowControl w:val="0"/>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eastAsia" w:ascii="仿宋" w:hAnsi="仿宋" w:eastAsia="仿宋" w:cs="仿宋"/>
          <w:b w:val="0"/>
          <w:bCs w:val="0"/>
          <w:color w:val="auto"/>
          <w:sz w:val="32"/>
          <w:szCs w:val="22"/>
          <w:lang w:val="en-US" w:eastAsia="zh-CN" w:bidi="ar-SA"/>
        </w:rPr>
      </w:pPr>
      <w:r>
        <w:rPr>
          <w:rFonts w:hint="eastAsia" w:ascii="仿宋" w:hAnsi="仿宋" w:eastAsia="仿宋" w:cs="仿宋"/>
          <w:b/>
          <w:color w:val="000000"/>
          <w:sz w:val="32"/>
        </w:rPr>
        <w:t>3.采煤沉陷</w:t>
      </w:r>
      <w:r>
        <w:rPr>
          <w:rFonts w:hint="eastAsia" w:ascii="仿宋" w:hAnsi="仿宋" w:eastAsia="仿宋" w:cs="仿宋"/>
          <w:b/>
          <w:color w:val="000000"/>
          <w:sz w:val="32"/>
          <w:lang w:eastAsia="zh-CN"/>
        </w:rPr>
        <w:t>稳层</w:t>
      </w:r>
      <w:r>
        <w:rPr>
          <w:rFonts w:hint="eastAsia" w:ascii="仿宋" w:hAnsi="仿宋" w:eastAsia="仿宋" w:cs="仿宋"/>
          <w:b/>
          <w:color w:val="000000"/>
          <w:sz w:val="32"/>
        </w:rPr>
        <w:t>区</w:t>
      </w:r>
      <w:r>
        <w:rPr>
          <w:rFonts w:hint="eastAsia" w:ascii="仿宋" w:hAnsi="仿宋" w:eastAsia="仿宋" w:cs="仿宋"/>
          <w:b/>
          <w:color w:val="000000"/>
          <w:sz w:val="32"/>
          <w:lang w:eastAsia="zh-CN"/>
        </w:rPr>
        <w:t>。</w:t>
      </w:r>
      <w:r>
        <w:rPr>
          <w:rFonts w:hint="eastAsia" w:ascii="仿宋" w:hAnsi="仿宋" w:eastAsia="仿宋" w:cs="仿宋"/>
          <w:b w:val="0"/>
          <w:bCs w:val="0"/>
          <w:color w:val="auto"/>
          <w:sz w:val="32"/>
          <w:szCs w:val="22"/>
          <w:lang w:val="en-US" w:eastAsia="zh-CN" w:bidi="ar-SA"/>
        </w:rPr>
        <w:t>主要包括凤台县、潘集区、大通区、谢家集区、八公山区、毛集实验区等受采煤沉陷影响区域。对经采煤企业认可的稳沉区域，待政策允许后，统筹推进沉陷区综合治理与高标准农田建设。建设重点为田块整治、灌排设施配套、</w:t>
      </w:r>
      <w:r>
        <w:rPr>
          <w:rFonts w:hint="eastAsia" w:ascii="仿宋" w:hAnsi="仿宋" w:eastAsia="仿宋" w:cs="仿宋"/>
          <w:b w:val="0"/>
          <w:bCs w:val="0"/>
          <w:color w:val="auto"/>
          <w:sz w:val="32"/>
          <w:szCs w:val="22"/>
          <w:lang w:val="en-US" w:eastAsia="en-US" w:bidi="ar-SA"/>
        </w:rPr>
        <w:t>田间道路</w:t>
      </w:r>
      <w:r>
        <w:rPr>
          <w:rFonts w:hint="eastAsia" w:ascii="仿宋" w:hAnsi="仿宋" w:eastAsia="仿宋" w:cs="仿宋"/>
          <w:b w:val="0"/>
          <w:bCs w:val="0"/>
          <w:color w:val="auto"/>
          <w:sz w:val="32"/>
          <w:szCs w:val="22"/>
          <w:lang w:val="en-US" w:eastAsia="zh-CN" w:bidi="ar-SA"/>
        </w:rPr>
        <w:t>修筑、岸坡防护等工程，恢复耕地耕种功能。</w:t>
      </w:r>
    </w:p>
    <w:p>
      <w:pPr>
        <w:pStyle w:val="2"/>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outlineLvl w:val="1"/>
        <w:rPr>
          <w:rFonts w:hint="eastAsia" w:ascii="楷体_GB2312" w:hAnsi="楷体_GB2312" w:eastAsia="楷体_GB2312" w:cs="楷体_GB2312"/>
          <w:b w:val="0"/>
          <w:bCs w:val="0"/>
        </w:rPr>
      </w:pPr>
      <w:bookmarkStart w:id="8" w:name="_Toc1736"/>
      <w:r>
        <w:rPr>
          <w:rFonts w:hint="eastAsia" w:ascii="楷体_GB2312" w:hAnsi="楷体_GB2312" w:eastAsia="楷体_GB2312" w:cs="楷体_GB2312"/>
          <w:b w:val="0"/>
          <w:bCs w:val="0"/>
          <w:color w:val="000000"/>
          <w:sz w:val="32"/>
        </w:rPr>
        <w:t>（二）建设时序安排</w:t>
      </w:r>
      <w:bookmarkEnd w:id="8"/>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rPr>
      </w:pPr>
      <w:r>
        <w:rPr>
          <w:rFonts w:hint="eastAsia" w:ascii="仿宋" w:hAnsi="仿宋" w:eastAsia="仿宋" w:cs="仿宋"/>
          <w:b w:val="0"/>
          <w:sz w:val="32"/>
        </w:rPr>
        <w:t>近期（2026—2030年）。完成新建高标准农田61万亩、改造提升28万亩。各县区</w:t>
      </w:r>
      <w:r>
        <w:rPr>
          <w:rFonts w:hint="eastAsia" w:ascii="仿宋" w:hAnsi="仿宋" w:cs="仿宋"/>
          <w:b w:val="0"/>
          <w:sz w:val="32"/>
          <w:lang w:eastAsia="zh-CN"/>
        </w:rPr>
        <w:t>运用高标准农田</w:t>
      </w:r>
      <w:r>
        <w:rPr>
          <w:rFonts w:hint="eastAsia" w:ascii="仿宋" w:hAnsi="仿宋" w:eastAsia="仿宋" w:cs="仿宋"/>
          <w:b w:val="0"/>
          <w:sz w:val="32"/>
        </w:rPr>
        <w:t>底数核查成果</w:t>
      </w:r>
      <w:r>
        <w:rPr>
          <w:rFonts w:hint="eastAsia" w:ascii="仿宋" w:hAnsi="仿宋" w:cs="仿宋"/>
          <w:b w:val="0"/>
          <w:sz w:val="32"/>
          <w:lang w:eastAsia="zh-CN"/>
        </w:rPr>
        <w:t>，科学开展</w:t>
      </w:r>
      <w:r>
        <w:rPr>
          <w:rFonts w:hint="eastAsia" w:ascii="仿宋" w:hAnsi="仿宋" w:eastAsia="仿宋" w:cs="仿宋"/>
          <w:b w:val="0"/>
          <w:sz w:val="32"/>
        </w:rPr>
        <w:t>项目储备，优先将集中连片、水源有保障的</w:t>
      </w:r>
      <w:r>
        <w:rPr>
          <w:rFonts w:hint="eastAsia" w:ascii="仿宋" w:hAnsi="仿宋" w:cs="仿宋"/>
          <w:b w:val="0"/>
          <w:sz w:val="32"/>
          <w:lang w:eastAsia="zh-CN"/>
        </w:rPr>
        <w:t>耕地</w:t>
      </w:r>
      <w:r>
        <w:rPr>
          <w:rFonts w:hint="eastAsia" w:ascii="仿宋" w:hAnsi="仿宋" w:eastAsia="仿宋" w:cs="仿宋"/>
          <w:b w:val="0"/>
          <w:sz w:val="32"/>
        </w:rPr>
        <w:t>纳入建设计划，成熟一批、实施一批，确保年度任务如期完成。</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rPr>
      </w:pPr>
      <w:r>
        <w:rPr>
          <w:rFonts w:hint="eastAsia" w:ascii="仿宋" w:hAnsi="仿宋" w:eastAsia="仿宋" w:cs="仿宋"/>
          <w:b w:val="0"/>
          <w:sz w:val="32"/>
        </w:rPr>
        <w:t>远期（2031—2035年）。</w:t>
      </w:r>
      <w:r>
        <w:rPr>
          <w:rFonts w:hint="eastAsia" w:ascii="仿宋" w:hAnsi="仿宋" w:cs="仿宋"/>
          <w:b w:val="0"/>
          <w:sz w:val="32"/>
          <w:lang w:eastAsia="zh-CN"/>
        </w:rPr>
        <w:t>完成</w:t>
      </w:r>
      <w:r>
        <w:rPr>
          <w:rFonts w:hint="eastAsia" w:ascii="仿宋" w:hAnsi="仿宋" w:eastAsia="仿宋" w:cs="仿宋"/>
          <w:b w:val="0"/>
          <w:sz w:val="32"/>
        </w:rPr>
        <w:t>新建高标准农田10万亩、改造提升40万亩。重点对</w:t>
      </w:r>
      <w:r>
        <w:rPr>
          <w:rFonts w:hint="eastAsia" w:ascii="仿宋" w:hAnsi="仿宋" w:cs="仿宋"/>
          <w:b w:val="0"/>
          <w:sz w:val="32"/>
          <w:lang w:val="en-US" w:eastAsia="zh-CN"/>
        </w:rPr>
        <w:t>2018年及以前年度</w:t>
      </w:r>
      <w:r>
        <w:rPr>
          <w:rFonts w:hint="eastAsia" w:ascii="仿宋" w:hAnsi="仿宋" w:eastAsia="仿宋" w:cs="仿宋"/>
          <w:b w:val="0"/>
          <w:sz w:val="32"/>
        </w:rPr>
        <w:t>建成、设施老化、标准偏低的高标准农田实施改造提升，同步推进剩余具备条件的永久基本农田新建</w:t>
      </w:r>
      <w:r>
        <w:rPr>
          <w:rFonts w:hint="eastAsia" w:ascii="仿宋" w:hAnsi="仿宋" w:cs="仿宋"/>
          <w:b w:val="0"/>
          <w:sz w:val="32"/>
          <w:lang w:eastAsia="zh-CN"/>
        </w:rPr>
        <w:t>高标准农田</w:t>
      </w:r>
      <w:r>
        <w:rPr>
          <w:rFonts w:hint="eastAsia" w:ascii="仿宋" w:hAnsi="仿宋" w:eastAsia="仿宋" w:cs="仿宋"/>
          <w:b w:val="0"/>
          <w:sz w:val="32"/>
        </w:rPr>
        <w:t>任务，全面实现</w:t>
      </w:r>
      <w:r>
        <w:rPr>
          <w:rFonts w:hint="eastAsia" w:ascii="仿宋" w:hAnsi="仿宋" w:cs="仿宋"/>
          <w:b w:val="0"/>
          <w:sz w:val="32"/>
          <w:lang w:eastAsia="zh-CN"/>
        </w:rPr>
        <w:t>把</w:t>
      </w:r>
      <w:r>
        <w:rPr>
          <w:rFonts w:hint="eastAsia" w:ascii="仿宋" w:hAnsi="仿宋" w:eastAsia="仿宋" w:cs="仿宋"/>
          <w:b w:val="0"/>
          <w:sz w:val="32"/>
        </w:rPr>
        <w:t>“具备条件的永久基本农田全部建成高标准农田”目标。</w:t>
      </w:r>
    </w:p>
    <w:p>
      <w:pPr>
        <w:pStyle w:val="4"/>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color w:val="000000"/>
          <w:sz w:val="32"/>
        </w:rPr>
      </w:pPr>
      <w:bookmarkStart w:id="9" w:name="_Toc8101"/>
      <w:r>
        <w:rPr>
          <w:rFonts w:hint="eastAsia" w:ascii="黑体" w:hAnsi="黑体" w:eastAsia="黑体" w:cs="黑体"/>
          <w:b w:val="0"/>
          <w:bCs/>
          <w:color w:val="000000"/>
          <w:sz w:val="32"/>
        </w:rPr>
        <w:t>四、建设标准</w:t>
      </w:r>
      <w:bookmarkEnd w:id="9"/>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val="0"/>
          <w:sz w:val="32"/>
        </w:rPr>
      </w:pPr>
      <w:r>
        <w:rPr>
          <w:rFonts w:hint="eastAsia" w:ascii="仿宋" w:hAnsi="仿宋" w:eastAsia="仿宋" w:cs="仿宋"/>
          <w:b w:val="0"/>
          <w:sz w:val="32"/>
        </w:rPr>
        <w:t>严格落实“一平</w:t>
      </w:r>
      <w:r>
        <w:rPr>
          <w:rFonts w:hint="eastAsia" w:ascii="仿宋" w:hAnsi="仿宋" w:cs="仿宋"/>
          <w:b w:val="0"/>
          <w:sz w:val="32"/>
          <w:lang w:eastAsia="zh-CN"/>
        </w:rPr>
        <w:t>”</w:t>
      </w:r>
      <w:r>
        <w:rPr>
          <w:rFonts w:hint="eastAsia" w:ascii="仿宋" w:hAnsi="仿宋" w:eastAsia="仿宋" w:cs="仿宋"/>
          <w:b w:val="0"/>
          <w:sz w:val="32"/>
        </w:rPr>
        <w:t>（田块平整</w:t>
      </w:r>
      <w:r>
        <w:rPr>
          <w:rFonts w:hint="eastAsia" w:ascii="仿宋" w:hAnsi="仿宋" w:cs="仿宋"/>
          <w:b w:val="0"/>
          <w:sz w:val="32"/>
          <w:lang w:eastAsia="zh-CN"/>
        </w:rPr>
        <w:t>）、“</w:t>
      </w:r>
      <w:r>
        <w:rPr>
          <w:rFonts w:hint="eastAsia" w:ascii="仿宋" w:hAnsi="仿宋" w:eastAsia="仿宋" w:cs="仿宋"/>
          <w:b w:val="0"/>
          <w:sz w:val="32"/>
        </w:rPr>
        <w:t>两通</w:t>
      </w:r>
      <w:r>
        <w:rPr>
          <w:rFonts w:hint="eastAsia" w:ascii="仿宋" w:hAnsi="仿宋" w:cs="仿宋"/>
          <w:b w:val="0"/>
          <w:sz w:val="32"/>
          <w:lang w:eastAsia="zh-CN"/>
        </w:rPr>
        <w:t>”（</w:t>
      </w:r>
      <w:r>
        <w:rPr>
          <w:rFonts w:hint="eastAsia" w:ascii="仿宋" w:hAnsi="仿宋" w:eastAsia="仿宋" w:cs="仿宋"/>
          <w:b w:val="0"/>
          <w:sz w:val="32"/>
        </w:rPr>
        <w:t>通水通路</w:t>
      </w:r>
      <w:r>
        <w:rPr>
          <w:rFonts w:hint="eastAsia" w:ascii="仿宋" w:hAnsi="仿宋" w:cs="仿宋"/>
          <w:b w:val="0"/>
          <w:sz w:val="32"/>
          <w:lang w:eastAsia="zh-CN"/>
        </w:rPr>
        <w:t>）、“</w:t>
      </w:r>
      <w:r>
        <w:rPr>
          <w:rFonts w:hint="eastAsia" w:ascii="仿宋" w:hAnsi="仿宋" w:eastAsia="仿宋" w:cs="仿宋"/>
          <w:b w:val="0"/>
          <w:sz w:val="32"/>
        </w:rPr>
        <w:t>三提升”</w:t>
      </w:r>
      <w:r>
        <w:rPr>
          <w:rFonts w:hint="eastAsia" w:ascii="仿宋" w:hAnsi="仿宋" w:cs="仿宋"/>
          <w:b w:val="0"/>
          <w:sz w:val="32"/>
          <w:lang w:eastAsia="zh-CN"/>
        </w:rPr>
        <w:t>（</w:t>
      </w:r>
      <w:r>
        <w:rPr>
          <w:rFonts w:hint="eastAsia" w:ascii="仿宋" w:hAnsi="仿宋" w:eastAsia="仿宋" w:cs="仿宋"/>
          <w:b w:val="0"/>
          <w:sz w:val="32"/>
        </w:rPr>
        <w:t>提升地力、产量、效益）基本标准，将建设重点放在田内。推行整村、整乡镇推进模式，统筹规划、集中连片实施，做到“整片规划、整体推进、成方连片、发挥效益”。通过田块整治、土壤改良、灌排设施、田间道路、输配电及农田防护等工程综合配套，实现项目区耕地利用率明显提升、土壤肥力明显改善，打造一批可复制、可推广的高标准农田建设样板。</w:t>
      </w:r>
    </w:p>
    <w:p>
      <w:pPr>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rPr>
      </w:pPr>
      <w:r>
        <w:rPr>
          <w:rFonts w:hint="eastAsia" w:ascii="仿宋" w:hAnsi="仿宋" w:eastAsia="仿宋" w:cs="仿宋"/>
          <w:b/>
          <w:color w:val="000000"/>
          <w:sz w:val="32"/>
          <w:lang w:val="en-US" w:eastAsia="zh-CN"/>
        </w:rPr>
        <w:t>（一）</w:t>
      </w:r>
      <w:r>
        <w:rPr>
          <w:rFonts w:hint="eastAsia" w:ascii="仿宋" w:hAnsi="仿宋" w:eastAsia="仿宋" w:cs="仿宋"/>
          <w:b/>
          <w:color w:val="000000"/>
          <w:sz w:val="32"/>
        </w:rPr>
        <w:t>田块整治工程</w:t>
      </w:r>
      <w:r>
        <w:rPr>
          <w:rFonts w:hint="eastAsia" w:ascii="仿宋" w:hAnsi="仿宋" w:eastAsia="仿宋" w:cs="仿宋"/>
          <w:b/>
          <w:color w:val="000000"/>
          <w:sz w:val="32"/>
          <w:lang w:eastAsia="zh-CN"/>
        </w:rPr>
        <w:t>。</w:t>
      </w:r>
      <w:r>
        <w:rPr>
          <w:rFonts w:hint="eastAsia" w:ascii="仿宋" w:hAnsi="仿宋" w:eastAsia="仿宋" w:cs="仿宋"/>
          <w:b w:val="0"/>
          <w:bCs w:val="0"/>
          <w:color w:val="auto"/>
          <w:sz w:val="32"/>
          <w:szCs w:val="22"/>
          <w:lang w:val="en-US" w:eastAsia="en-US" w:bidi="ar-SA"/>
        </w:rPr>
        <w:t>实施田块归并、田面平整、客土填充、表土剥离回填等措施，提高田面平整度，改良农田耕作层土壤。适度推进田块归并，提高耕地连片程度，为机械化作业创造条件。凤台县、潘集区、毛集实验区等淮北平原区以道路、沟渠为边界修筑格田、条田，做到田面平整、田埂规整；寿县等江淮丘陵区宜修筑水平梯田，做到田块规整、层次分明，田块高差满足机械化作业要求</w:t>
      </w:r>
      <w:r>
        <w:rPr>
          <w:rFonts w:hint="eastAsia" w:ascii="仿宋" w:hAnsi="仿宋" w:eastAsia="仿宋" w:cs="仿宋"/>
          <w:b w:val="0"/>
          <w:bCs w:val="0"/>
          <w:color w:val="auto"/>
          <w:sz w:val="32"/>
          <w:szCs w:val="22"/>
          <w:lang w:val="en-US" w:eastAsia="zh-CN" w:bidi="ar-SA"/>
        </w:rPr>
        <w:t>；</w:t>
      </w:r>
      <w:r>
        <w:rPr>
          <w:rFonts w:hint="eastAsia" w:ascii="仿宋" w:hAnsi="仿宋" w:eastAsia="仿宋" w:cs="仿宋"/>
          <w:b w:val="0"/>
          <w:bCs w:val="0"/>
          <w:color w:val="auto"/>
          <w:sz w:val="32"/>
          <w:szCs w:val="22"/>
          <w:lang w:val="en-US" w:eastAsia="en-US" w:bidi="ar-SA"/>
        </w:rPr>
        <w:t>采煤沉陷</w:t>
      </w:r>
      <w:r>
        <w:rPr>
          <w:rFonts w:hint="eastAsia" w:ascii="仿宋" w:hAnsi="仿宋" w:eastAsia="仿宋" w:cs="仿宋"/>
          <w:b w:val="0"/>
          <w:bCs w:val="0"/>
          <w:color w:val="auto"/>
          <w:sz w:val="32"/>
          <w:szCs w:val="22"/>
          <w:lang w:val="en-US" w:eastAsia="zh-CN" w:bidi="ar-SA"/>
        </w:rPr>
        <w:t>稳沉</w:t>
      </w:r>
      <w:r>
        <w:rPr>
          <w:rFonts w:hint="eastAsia" w:ascii="仿宋" w:hAnsi="仿宋" w:eastAsia="仿宋" w:cs="仿宋"/>
          <w:b w:val="0"/>
          <w:bCs w:val="0"/>
          <w:color w:val="auto"/>
          <w:sz w:val="32"/>
          <w:szCs w:val="22"/>
          <w:lang w:val="en-US" w:eastAsia="en-US" w:bidi="ar-SA"/>
        </w:rPr>
        <w:t>区耕地，因地制宜实施综合治理，确保</w:t>
      </w:r>
      <w:r>
        <w:rPr>
          <w:rFonts w:hint="eastAsia" w:ascii="仿宋" w:hAnsi="仿宋" w:eastAsia="仿宋" w:cs="仿宋"/>
          <w:b w:val="0"/>
          <w:bCs w:val="0"/>
          <w:color w:val="auto"/>
          <w:sz w:val="32"/>
          <w:szCs w:val="22"/>
          <w:lang w:val="en-US" w:eastAsia="zh-CN" w:bidi="ar-SA"/>
        </w:rPr>
        <w:t>稳沉</w:t>
      </w:r>
      <w:r>
        <w:rPr>
          <w:rFonts w:hint="eastAsia" w:ascii="仿宋" w:hAnsi="仿宋" w:eastAsia="仿宋" w:cs="仿宋"/>
          <w:b w:val="0"/>
          <w:bCs w:val="0"/>
          <w:color w:val="auto"/>
          <w:sz w:val="32"/>
          <w:szCs w:val="22"/>
          <w:lang w:val="en-US" w:eastAsia="en-US" w:bidi="ar-SA"/>
        </w:rPr>
        <w:t>耕地达到种植</w:t>
      </w:r>
      <w:r>
        <w:rPr>
          <w:rFonts w:hint="eastAsia" w:ascii="仿宋" w:hAnsi="仿宋" w:eastAsia="仿宋" w:cs="仿宋"/>
          <w:b w:val="0"/>
          <w:bCs w:val="0"/>
          <w:color w:val="auto"/>
          <w:sz w:val="32"/>
          <w:szCs w:val="22"/>
          <w:lang w:val="en-US" w:eastAsia="zh-CN" w:bidi="ar-SA"/>
        </w:rPr>
        <w:t>条件</w:t>
      </w:r>
      <w:r>
        <w:rPr>
          <w:rFonts w:hint="eastAsia" w:ascii="仿宋" w:hAnsi="仿宋" w:eastAsia="仿宋" w:cs="仿宋"/>
          <w:b w:val="0"/>
          <w:bCs w:val="0"/>
          <w:color w:val="auto"/>
          <w:sz w:val="32"/>
          <w:szCs w:val="22"/>
          <w:lang w:val="en-US" w:eastAsia="en-US" w:bidi="ar-SA"/>
        </w:rPr>
        <w:t>。</w:t>
      </w:r>
    </w:p>
    <w:p>
      <w:pPr>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 w:hAnsi="仿宋" w:eastAsia="仿宋" w:cs="仿宋"/>
          <w:b w:val="0"/>
          <w:sz w:val="32"/>
        </w:rPr>
      </w:pPr>
      <w:r>
        <w:rPr>
          <w:rFonts w:hint="eastAsia" w:ascii="仿宋" w:hAnsi="仿宋" w:cs="仿宋"/>
          <w:b w:val="0"/>
          <w:sz w:val="32"/>
          <w:lang w:eastAsia="zh-CN"/>
        </w:rPr>
        <w:t>同时，</w:t>
      </w:r>
      <w:r>
        <w:rPr>
          <w:rFonts w:hint="eastAsia" w:ascii="仿宋" w:hAnsi="仿宋" w:eastAsia="仿宋" w:cs="仿宋"/>
          <w:b w:val="0"/>
          <w:sz w:val="32"/>
        </w:rPr>
        <w:t>田块整治要尊重农民意愿、保障农民权益，通过土地经营权流转、互换并地等方式</w:t>
      </w:r>
      <w:r>
        <w:rPr>
          <w:rFonts w:hint="eastAsia" w:ascii="仿宋" w:hAnsi="仿宋" w:cs="仿宋"/>
          <w:b w:val="0"/>
          <w:sz w:val="32"/>
          <w:lang w:eastAsia="zh-CN"/>
        </w:rPr>
        <w:t>，鼓励农业新型经营主体、种粮大户、农业企业适度流转耕地规模经营</w:t>
      </w:r>
      <w:r>
        <w:rPr>
          <w:rFonts w:hint="eastAsia" w:ascii="仿宋" w:hAnsi="仿宋" w:eastAsia="仿宋" w:cs="仿宋"/>
          <w:b w:val="0"/>
          <w:sz w:val="32"/>
        </w:rPr>
        <w:t>。对涉及耕地占补平衡和永久基本农田调整的，</w:t>
      </w:r>
      <w:r>
        <w:rPr>
          <w:rFonts w:hint="eastAsia" w:ascii="仿宋" w:hAnsi="仿宋" w:cs="仿宋"/>
          <w:b w:val="0"/>
          <w:sz w:val="32"/>
          <w:lang w:eastAsia="zh-CN"/>
        </w:rPr>
        <w:t>要</w:t>
      </w:r>
      <w:r>
        <w:rPr>
          <w:rFonts w:hint="eastAsia" w:ascii="仿宋" w:hAnsi="仿宋" w:eastAsia="仿宋" w:cs="仿宋"/>
          <w:b w:val="0"/>
          <w:sz w:val="32"/>
        </w:rPr>
        <w:t>严格按照有关规定履行程序，不得借田块整治之名违规调整耕地和永久基本农田布局。施工中要严格保护</w:t>
      </w:r>
      <w:r>
        <w:rPr>
          <w:rFonts w:hint="eastAsia" w:ascii="仿宋" w:hAnsi="仿宋" w:cs="仿宋"/>
          <w:b w:val="0"/>
          <w:sz w:val="32"/>
          <w:lang w:eastAsia="zh-CN"/>
        </w:rPr>
        <w:t>耕作</w:t>
      </w:r>
      <w:r>
        <w:rPr>
          <w:rFonts w:hint="eastAsia" w:ascii="仿宋" w:hAnsi="仿宋" w:eastAsia="仿宋" w:cs="仿宋"/>
          <w:b w:val="0"/>
          <w:sz w:val="32"/>
        </w:rPr>
        <w:t>层，做到表土剥离、妥善堆放、回填利用，防止耕作层破坏和土壤肥力下降。</w:t>
      </w:r>
    </w:p>
    <w:p>
      <w:pPr>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仿宋" w:hAnsi="仿宋" w:eastAsia="仿宋" w:cs="仿宋"/>
          <w:b/>
          <w:bCs/>
          <w:color w:val="auto"/>
          <w:sz w:val="32"/>
          <w:szCs w:val="22"/>
          <w:lang w:val="en-US" w:eastAsia="zh-CN" w:bidi="ar-SA"/>
        </w:rPr>
        <w:t>（二）灌溉排水工程。</w:t>
      </w:r>
      <w:r>
        <w:rPr>
          <w:rFonts w:hint="eastAsia" w:ascii="仿宋" w:hAnsi="仿宋" w:eastAsia="仿宋" w:cs="仿宋"/>
          <w:b w:val="0"/>
          <w:bCs w:val="0"/>
          <w:color w:val="auto"/>
          <w:sz w:val="32"/>
          <w:szCs w:val="22"/>
          <w:lang w:val="en-US" w:eastAsia="en-US" w:bidi="ar-SA"/>
        </w:rPr>
        <w:t>推动高标准农田建设与水土资源条件相匹配、与灌区建设相衔接。依托</w:t>
      </w:r>
      <w:r>
        <w:rPr>
          <w:rFonts w:hint="eastAsia" w:ascii="仿宋" w:hAnsi="仿宋" w:eastAsia="仿宋" w:cs="仿宋"/>
          <w:b w:val="0"/>
          <w:bCs w:val="0"/>
          <w:color w:val="auto"/>
          <w:sz w:val="32"/>
          <w:szCs w:val="22"/>
          <w:lang w:val="en-US" w:eastAsia="zh-CN" w:bidi="ar-SA"/>
        </w:rPr>
        <w:t>淠史杭灌区、茨淮新河灌区</w:t>
      </w:r>
      <w:r>
        <w:rPr>
          <w:rFonts w:hint="eastAsia" w:ascii="仿宋" w:hAnsi="仿宋" w:eastAsia="仿宋" w:cs="仿宋"/>
          <w:b w:val="0"/>
          <w:bCs w:val="0"/>
          <w:color w:val="auto"/>
          <w:sz w:val="32"/>
          <w:szCs w:val="22"/>
          <w:lang w:val="en-US" w:eastAsia="en-US" w:bidi="ar-SA"/>
        </w:rPr>
        <w:t>、永幸河灌区等大中型灌区，加强田间灌排设施建设，科学布局水源工程、田间沟渠、输水管网及渠系建筑物，扩大有效灌溉面积，提高灌溉保证率、用水效率和农田防洪排涝标准。沿淮地区</w:t>
      </w:r>
      <w:r>
        <w:rPr>
          <w:rFonts w:hint="eastAsia" w:ascii="仿宋" w:hAnsi="仿宋" w:eastAsia="仿宋" w:cs="仿宋"/>
          <w:b w:val="0"/>
          <w:bCs w:val="0"/>
          <w:color w:val="auto"/>
          <w:sz w:val="32"/>
          <w:szCs w:val="22"/>
          <w:lang w:val="en-US" w:eastAsia="zh-CN" w:bidi="ar-SA"/>
        </w:rPr>
        <w:t>要</w:t>
      </w:r>
      <w:r>
        <w:rPr>
          <w:rFonts w:hint="eastAsia" w:ascii="仿宋" w:hAnsi="仿宋" w:eastAsia="仿宋" w:cs="仿宋"/>
          <w:b w:val="0"/>
          <w:bCs w:val="0"/>
          <w:color w:val="auto"/>
          <w:sz w:val="32"/>
          <w:szCs w:val="22"/>
          <w:lang w:val="en-US" w:eastAsia="en-US" w:bidi="ar-SA"/>
        </w:rPr>
        <w:t>充分利用淮河、茨淮新河、西淝河等水源，统筹泵站提水、沟塘蓄水，增强抗旱保灌能力；丘陵岗地区</w:t>
      </w:r>
      <w:r>
        <w:rPr>
          <w:rFonts w:hint="eastAsia" w:ascii="仿宋" w:hAnsi="仿宋" w:eastAsia="仿宋" w:cs="仿宋"/>
          <w:b w:val="0"/>
          <w:bCs w:val="0"/>
          <w:color w:val="auto"/>
          <w:sz w:val="32"/>
          <w:szCs w:val="22"/>
          <w:lang w:val="en-US" w:eastAsia="zh-CN" w:bidi="ar-SA"/>
        </w:rPr>
        <w:t>要</w:t>
      </w:r>
      <w:r>
        <w:rPr>
          <w:rFonts w:hint="eastAsia" w:ascii="仿宋" w:hAnsi="仿宋" w:cs="仿宋"/>
          <w:b w:val="0"/>
          <w:bCs w:val="0"/>
          <w:color w:val="auto"/>
          <w:sz w:val="32"/>
          <w:szCs w:val="22"/>
          <w:lang w:val="en-US" w:eastAsia="zh-CN" w:bidi="ar-SA"/>
        </w:rPr>
        <w:t>在充分论证其必要性、可行性、安全性前提下，进一步加强</w:t>
      </w:r>
      <w:r>
        <w:rPr>
          <w:rFonts w:hint="eastAsia" w:ascii="仿宋" w:hAnsi="仿宋" w:eastAsia="仿宋" w:cs="仿宋"/>
          <w:b w:val="0"/>
          <w:bCs w:val="0"/>
          <w:color w:val="auto"/>
          <w:sz w:val="32"/>
          <w:szCs w:val="22"/>
          <w:lang w:val="en-US" w:eastAsia="en-US" w:bidi="ar-SA"/>
        </w:rPr>
        <w:t>当家塘、蓄水堰等小型水源工程建设，合理布设提水泵站，严禁填埋具有蓄水、滞洪功能的塘坝，保持区域水系畅通。</w:t>
      </w:r>
    </w:p>
    <w:p>
      <w:pPr>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仿宋" w:hAnsi="仿宋" w:eastAsia="仿宋" w:cs="仿宋"/>
          <w:b/>
          <w:bCs/>
          <w:color w:val="auto"/>
          <w:sz w:val="32"/>
          <w:szCs w:val="22"/>
          <w:lang w:val="en-US" w:eastAsia="zh-CN" w:bidi="ar-SA"/>
        </w:rPr>
        <w:t>（三）田间道路工程。</w:t>
      </w:r>
      <w:r>
        <w:rPr>
          <w:rFonts w:hint="eastAsia" w:ascii="仿宋" w:hAnsi="仿宋" w:eastAsia="仿宋" w:cs="仿宋"/>
          <w:b w:val="0"/>
          <w:bCs w:val="0"/>
          <w:color w:val="auto"/>
          <w:sz w:val="32"/>
          <w:szCs w:val="22"/>
          <w:lang w:val="en-US" w:eastAsia="en-US" w:bidi="ar-SA"/>
        </w:rPr>
        <w:t>科学规划田间道（机耕路）、生产路与附属设施，</w:t>
      </w:r>
      <w:r>
        <w:rPr>
          <w:rFonts w:hint="eastAsia" w:ascii="仿宋" w:hAnsi="仿宋" w:cs="仿宋"/>
          <w:b w:val="0"/>
          <w:bCs w:val="0"/>
          <w:color w:val="auto"/>
          <w:sz w:val="32"/>
          <w:szCs w:val="22"/>
          <w:lang w:val="en-US" w:eastAsia="zh-CN" w:bidi="ar-SA"/>
        </w:rPr>
        <w:t>结合机耕路、生产路布局，合理确定路面宽度区间值下限及上限范围、</w:t>
      </w:r>
      <w:r>
        <w:rPr>
          <w:rFonts w:hint="eastAsia" w:ascii="仿宋" w:hAnsi="仿宋" w:eastAsia="仿宋" w:cs="仿宋"/>
          <w:b w:val="0"/>
          <w:bCs w:val="0"/>
          <w:color w:val="auto"/>
          <w:sz w:val="32"/>
          <w:szCs w:val="22"/>
          <w:lang w:val="en-US" w:eastAsia="en-US" w:bidi="ar-SA"/>
        </w:rPr>
        <w:t>建设材质，满足农业机械通行和作业需求。机耕路</w:t>
      </w:r>
      <w:r>
        <w:rPr>
          <w:rFonts w:hint="eastAsia" w:ascii="仿宋" w:hAnsi="仿宋" w:cs="仿宋"/>
          <w:b w:val="0"/>
          <w:bCs w:val="0"/>
          <w:color w:val="auto"/>
          <w:sz w:val="32"/>
          <w:szCs w:val="22"/>
          <w:lang w:val="en-US" w:eastAsia="zh-CN" w:bidi="ar-SA"/>
        </w:rPr>
        <w:t>及</w:t>
      </w:r>
      <w:r>
        <w:rPr>
          <w:rFonts w:hint="eastAsia" w:ascii="仿宋" w:hAnsi="仿宋" w:eastAsia="仿宋" w:cs="仿宋"/>
          <w:b w:val="0"/>
          <w:bCs w:val="0"/>
          <w:color w:val="auto"/>
          <w:sz w:val="32"/>
          <w:szCs w:val="22"/>
          <w:lang w:val="en-US" w:eastAsia="en-US" w:bidi="ar-SA"/>
        </w:rPr>
        <w:t>生产路路面宽度</w:t>
      </w:r>
      <w:r>
        <w:rPr>
          <w:rFonts w:hint="eastAsia" w:ascii="仿宋" w:hAnsi="仿宋" w:cs="仿宋"/>
          <w:b w:val="0"/>
          <w:bCs w:val="0"/>
          <w:color w:val="auto"/>
          <w:sz w:val="32"/>
          <w:szCs w:val="22"/>
          <w:lang w:val="en-US" w:eastAsia="zh-CN" w:bidi="ar-SA"/>
        </w:rPr>
        <w:t>同时需符合《高标准农田建设通则》（GB/T30600-2022）要求，同步</w:t>
      </w:r>
      <w:r>
        <w:rPr>
          <w:rFonts w:hint="eastAsia" w:ascii="仿宋" w:hAnsi="仿宋" w:eastAsia="仿宋" w:cs="仿宋"/>
          <w:b w:val="0"/>
          <w:bCs w:val="0"/>
          <w:color w:val="auto"/>
          <w:sz w:val="32"/>
          <w:szCs w:val="22"/>
          <w:lang w:val="en-US" w:eastAsia="en-US" w:bidi="ar-SA"/>
        </w:rPr>
        <w:t>配套建设错车道、下田坡道和桥涵等附属设施。提高田间道路通达度，平原区通达度</w:t>
      </w:r>
      <w:r>
        <w:rPr>
          <w:rFonts w:hint="eastAsia" w:ascii="仿宋" w:hAnsi="仿宋" w:eastAsia="仿宋" w:cs="仿宋"/>
          <w:b w:val="0"/>
          <w:bCs w:val="0"/>
          <w:color w:val="auto"/>
          <w:sz w:val="32"/>
          <w:szCs w:val="22"/>
          <w:lang w:val="en-US" w:eastAsia="zh-CN" w:bidi="ar-SA"/>
        </w:rPr>
        <w:t>要</w:t>
      </w:r>
      <w:r>
        <w:rPr>
          <w:rFonts w:hint="eastAsia" w:ascii="仿宋" w:hAnsi="仿宋" w:eastAsia="仿宋" w:cs="仿宋"/>
          <w:b w:val="0"/>
          <w:bCs w:val="0"/>
          <w:color w:val="auto"/>
          <w:sz w:val="32"/>
          <w:szCs w:val="22"/>
          <w:lang w:val="en-US" w:eastAsia="en-US" w:bidi="ar-SA"/>
        </w:rPr>
        <w:t>达到100%，丘陵区通达度</w:t>
      </w:r>
      <w:r>
        <w:rPr>
          <w:rFonts w:hint="eastAsia" w:ascii="仿宋" w:hAnsi="仿宋" w:eastAsia="仿宋" w:cs="仿宋"/>
          <w:b w:val="0"/>
          <w:bCs w:val="0"/>
          <w:color w:val="auto"/>
          <w:sz w:val="32"/>
          <w:szCs w:val="22"/>
          <w:lang w:val="en-US" w:eastAsia="zh-CN" w:bidi="ar-SA"/>
        </w:rPr>
        <w:t>要</w:t>
      </w:r>
      <w:r>
        <w:rPr>
          <w:rFonts w:hint="eastAsia" w:ascii="仿宋" w:hAnsi="仿宋" w:eastAsia="仿宋" w:cs="仿宋"/>
          <w:b w:val="0"/>
          <w:bCs w:val="0"/>
          <w:color w:val="auto"/>
          <w:sz w:val="32"/>
          <w:szCs w:val="22"/>
          <w:lang w:val="en-US" w:eastAsia="en-US" w:bidi="ar-SA"/>
        </w:rPr>
        <w:t>不低于90%，为全程机械化作业提供保障。</w:t>
      </w:r>
    </w:p>
    <w:p>
      <w:pPr>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仿宋" w:hAnsi="仿宋" w:eastAsia="仿宋" w:cs="仿宋"/>
          <w:b/>
          <w:bCs/>
          <w:color w:val="auto"/>
          <w:sz w:val="32"/>
          <w:szCs w:val="22"/>
          <w:lang w:val="en-US" w:eastAsia="zh-CN" w:bidi="ar-SA"/>
        </w:rPr>
        <w:t>（四）防护保护工程。</w:t>
      </w:r>
      <w:r>
        <w:rPr>
          <w:rFonts w:hint="eastAsia" w:ascii="仿宋" w:hAnsi="仿宋" w:eastAsia="仿宋" w:cs="仿宋"/>
          <w:b w:val="0"/>
          <w:bCs w:val="0"/>
          <w:color w:val="auto"/>
          <w:sz w:val="32"/>
          <w:szCs w:val="22"/>
          <w:lang w:val="en-US" w:eastAsia="en-US" w:bidi="ar-SA"/>
        </w:rPr>
        <w:t>坚持因害设防、综合治理，采取建设岸坡防护工程及栽植兼顾经济、生态、防护效益的乡土树种</w:t>
      </w:r>
      <w:r>
        <w:rPr>
          <w:rFonts w:hint="eastAsia" w:ascii="仿宋" w:hAnsi="仿宋" w:eastAsia="仿宋" w:cs="仿宋"/>
          <w:b w:val="0"/>
          <w:bCs w:val="0"/>
          <w:color w:val="auto"/>
          <w:sz w:val="32"/>
          <w:szCs w:val="22"/>
          <w:lang w:val="en-US" w:eastAsia="zh-CN" w:bidi="ar-SA"/>
        </w:rPr>
        <w:t>防护林网</w:t>
      </w:r>
      <w:r>
        <w:rPr>
          <w:rFonts w:hint="eastAsia" w:ascii="仿宋" w:hAnsi="仿宋" w:eastAsia="仿宋" w:cs="仿宋"/>
          <w:b w:val="0"/>
          <w:bCs w:val="0"/>
          <w:color w:val="auto"/>
          <w:sz w:val="32"/>
          <w:szCs w:val="22"/>
          <w:lang w:val="en-US" w:eastAsia="en-US" w:bidi="ar-SA"/>
        </w:rPr>
        <w:t>等措施，因地制宜建设生态沟渠，加强农田退水拦截净化</w:t>
      </w:r>
      <w:r>
        <w:rPr>
          <w:rFonts w:hint="eastAsia" w:ascii="仿宋" w:hAnsi="仿宋" w:cs="仿宋"/>
          <w:b w:val="0"/>
          <w:bCs w:val="0"/>
          <w:color w:val="auto"/>
          <w:sz w:val="32"/>
          <w:szCs w:val="22"/>
          <w:lang w:val="en-US" w:eastAsia="zh-CN" w:bidi="ar-SA"/>
        </w:rPr>
        <w:t>，</w:t>
      </w:r>
      <w:r>
        <w:rPr>
          <w:rFonts w:hint="eastAsia" w:ascii="仿宋" w:hAnsi="仿宋" w:eastAsia="仿宋" w:cs="仿宋"/>
          <w:b w:val="0"/>
          <w:bCs w:val="0"/>
          <w:color w:val="auto"/>
          <w:sz w:val="32"/>
          <w:szCs w:val="22"/>
          <w:lang w:val="en-US" w:eastAsia="en-US" w:bidi="ar-SA"/>
        </w:rPr>
        <w:t>增强农田防护和水土保持能力。防护林</w:t>
      </w:r>
      <w:r>
        <w:rPr>
          <w:rFonts w:hint="eastAsia" w:ascii="仿宋" w:hAnsi="仿宋" w:eastAsia="仿宋" w:cs="仿宋"/>
          <w:b w:val="0"/>
          <w:bCs w:val="0"/>
          <w:color w:val="auto"/>
          <w:sz w:val="32"/>
          <w:szCs w:val="22"/>
          <w:lang w:val="en-US" w:eastAsia="zh-CN" w:bidi="ar-SA"/>
        </w:rPr>
        <w:t>网</w:t>
      </w:r>
      <w:r>
        <w:rPr>
          <w:rFonts w:hint="eastAsia" w:ascii="仿宋" w:hAnsi="仿宋" w:eastAsia="仿宋" w:cs="仿宋"/>
          <w:b w:val="0"/>
          <w:bCs w:val="0"/>
          <w:color w:val="auto"/>
          <w:sz w:val="32"/>
          <w:szCs w:val="22"/>
          <w:lang w:val="en-US" w:eastAsia="en-US" w:bidi="ar-SA"/>
        </w:rPr>
        <w:t>栽植坚持需求导向、建管并重，由乡镇结合实际申请并提出明确栽植需求，同步落实防护林管护责任后，方可组织实施。</w:t>
      </w:r>
    </w:p>
    <w:p>
      <w:pPr>
        <w:pageBreakBefore w:val="0"/>
        <w:widowControl w:val="0"/>
        <w:numPr>
          <w:ilvl w:val="0"/>
          <w:numId w:val="0"/>
        </w:numPr>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仿宋" w:hAnsi="仿宋" w:eastAsia="仿宋" w:cs="仿宋"/>
          <w:b/>
          <w:color w:val="000000"/>
          <w:sz w:val="32"/>
          <w:lang w:val="en-US" w:eastAsia="zh-CN"/>
        </w:rPr>
        <w:t>（五）输配电工程。</w:t>
      </w:r>
      <w:r>
        <w:rPr>
          <w:rFonts w:hint="eastAsia" w:ascii="仿宋" w:hAnsi="仿宋" w:eastAsia="仿宋" w:cs="仿宋"/>
          <w:b w:val="0"/>
          <w:bCs w:val="0"/>
          <w:color w:val="auto"/>
          <w:sz w:val="32"/>
          <w:szCs w:val="22"/>
          <w:lang w:val="en-US" w:eastAsia="en-US" w:bidi="ar-SA"/>
        </w:rPr>
        <w:t>坚持按需配套，完善农田电力基础设施，合理布设弱电设施，满足灌排作业等用电需求。结合灌排泵站、提水工程布局，同步配套输配电线路和变压器等设施，推广节能设备、移动电源和智能控制系统，保障用电质量和安全。统筹考虑农业生产用电负荷和农忙季节用电特点，合理确定变压器容量和线路走向，避免“有设备无电源、有电源无负荷”现象。</w:t>
      </w:r>
    </w:p>
    <w:p>
      <w:pPr>
        <w:pageBreakBefore w:val="0"/>
        <w:widowControl w:val="0"/>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eastAsia" w:ascii="仿宋" w:hAnsi="仿宋" w:eastAsia="仿宋" w:cs="仿宋"/>
          <w:b w:val="0"/>
          <w:sz w:val="32"/>
          <w:lang w:eastAsia="zh-CN"/>
        </w:rPr>
      </w:pPr>
      <w:r>
        <w:rPr>
          <w:rFonts w:hint="eastAsia" w:ascii="仿宋" w:hAnsi="仿宋" w:eastAsia="仿宋" w:cs="仿宋"/>
          <w:b/>
          <w:color w:val="000000"/>
          <w:sz w:val="32"/>
          <w:lang w:val="en-US" w:eastAsia="zh-CN"/>
        </w:rPr>
        <w:t>（六）地力提升工程。</w:t>
      </w:r>
      <w:r>
        <w:rPr>
          <w:rFonts w:hint="eastAsia" w:ascii="仿宋" w:hAnsi="仿宋" w:eastAsia="仿宋" w:cs="仿宋"/>
          <w:b w:val="0"/>
          <w:bCs w:val="0"/>
          <w:color w:val="auto"/>
          <w:sz w:val="32"/>
          <w:szCs w:val="22"/>
          <w:lang w:val="en-US" w:eastAsia="en-US" w:bidi="ar-SA"/>
        </w:rPr>
        <w:t>结合农业生产，常态化开展土壤改良培肥，统筹推进酸化退化耕地治理，</w:t>
      </w:r>
      <w:r>
        <w:rPr>
          <w:rFonts w:hint="eastAsia" w:ascii="仿宋" w:hAnsi="仿宋" w:eastAsia="仿宋" w:cs="仿宋"/>
          <w:b w:val="0"/>
          <w:bCs w:val="0"/>
          <w:color w:val="auto"/>
          <w:sz w:val="32"/>
          <w:szCs w:val="22"/>
          <w:lang w:val="en-US" w:eastAsia="zh-CN" w:bidi="ar-SA"/>
        </w:rPr>
        <w:t>示范推广复合微生物专用肥，稳步提高耕地地力等级，</w:t>
      </w:r>
      <w:r>
        <w:rPr>
          <w:rFonts w:hint="eastAsia" w:ascii="仿宋" w:hAnsi="仿宋" w:eastAsia="仿宋" w:cs="仿宋"/>
          <w:b w:val="0"/>
          <w:bCs w:val="0"/>
          <w:color w:val="auto"/>
          <w:sz w:val="32"/>
          <w:szCs w:val="22"/>
          <w:lang w:val="en-US" w:eastAsia="en-US" w:bidi="ar-SA"/>
        </w:rPr>
        <w:t>稳步提高耕地地力等级，实现土壤通透性能好、保水保肥能力强、酸碱平衡适宜、有机质与营养元素充足的目标。</w:t>
      </w:r>
    </w:p>
    <w:p>
      <w:pPr>
        <w:pStyle w:val="4"/>
        <w:pageBreakBefore w:val="0"/>
        <w:widowControl w:val="0"/>
        <w:kinsoku/>
        <w:wordWrap/>
        <w:overflowPunct/>
        <w:topLinePunct w:val="0"/>
        <w:autoSpaceDE/>
        <w:autoSpaceDN/>
        <w:bidi w:val="0"/>
        <w:adjustRightInd/>
        <w:snapToGrid/>
        <w:spacing w:before="0" w:after="0" w:line="560" w:lineRule="exact"/>
        <w:ind w:firstLine="640" w:firstLineChars="200"/>
        <w:jc w:val="both"/>
        <w:textAlignment w:val="auto"/>
        <w:rPr>
          <w:rFonts w:hint="eastAsia" w:ascii="黑体" w:hAnsi="黑体" w:eastAsia="黑体" w:cs="黑体"/>
          <w:b w:val="0"/>
          <w:bCs/>
          <w:color w:val="000000"/>
          <w:sz w:val="32"/>
          <w:lang w:eastAsia="zh-CN"/>
        </w:rPr>
      </w:pPr>
      <w:bookmarkStart w:id="10" w:name="_Toc9762"/>
      <w:r>
        <w:rPr>
          <w:rFonts w:hint="eastAsia" w:ascii="黑体" w:hAnsi="黑体" w:eastAsia="黑体" w:cs="黑体"/>
          <w:b w:val="0"/>
          <w:bCs/>
          <w:color w:val="000000"/>
          <w:sz w:val="32"/>
          <w:lang w:val="en-US" w:eastAsia="zh-CN"/>
        </w:rPr>
        <w:t>五</w:t>
      </w:r>
      <w:r>
        <w:rPr>
          <w:rFonts w:hint="eastAsia" w:ascii="黑体" w:hAnsi="黑体" w:eastAsia="黑体" w:cs="黑体"/>
          <w:b w:val="0"/>
          <w:bCs/>
          <w:color w:val="000000"/>
          <w:sz w:val="32"/>
        </w:rPr>
        <w:t>、</w:t>
      </w:r>
      <w:bookmarkEnd w:id="10"/>
      <w:r>
        <w:rPr>
          <w:rFonts w:hint="eastAsia" w:ascii="黑体" w:hAnsi="黑体" w:eastAsia="黑体" w:cs="黑体"/>
          <w:b w:val="0"/>
          <w:bCs/>
          <w:color w:val="000000"/>
          <w:sz w:val="32"/>
          <w:lang w:eastAsia="zh-CN"/>
        </w:rPr>
        <w:t>建设管理</w:t>
      </w:r>
    </w:p>
    <w:p>
      <w:pPr>
        <w:pStyle w:val="31"/>
        <w:pageBreakBefore w:val="0"/>
        <w:kinsoku/>
        <w:wordWrap/>
        <w:overflowPunct/>
        <w:topLinePunct w:val="0"/>
        <w:autoSpaceDE/>
        <w:autoSpaceDN/>
        <w:bidi w:val="0"/>
        <w:adjustRightInd/>
        <w:snapToGrid/>
        <w:spacing w:line="560" w:lineRule="exact"/>
        <w:ind w:left="0" w:leftChars="0" w:firstLine="640" w:firstLineChars="200"/>
        <w:textAlignment w:val="auto"/>
        <w:rPr>
          <w:rFonts w:hint="eastAsia"/>
        </w:rPr>
      </w:pPr>
      <w:r>
        <w:rPr>
          <w:rFonts w:hint="eastAsia"/>
        </w:rPr>
        <w:t>建立以项目法人责任制为基础的工程质量监督体系，完善“立项—建设—验收—管护”全链条闭环管理机制。</w:t>
      </w:r>
      <w:bookmarkStart w:id="11" w:name="_Toc1830"/>
    </w:p>
    <w:p>
      <w:pPr>
        <w:pStyle w:val="31"/>
        <w:pageBreakBefore w:val="0"/>
        <w:numPr>
          <w:ilvl w:val="0"/>
          <w:numId w:val="8"/>
        </w:numPr>
        <w:kinsoku/>
        <w:wordWrap/>
        <w:overflowPunct/>
        <w:topLinePunct w:val="0"/>
        <w:autoSpaceDE/>
        <w:autoSpaceDN/>
        <w:bidi w:val="0"/>
        <w:adjustRightInd/>
        <w:snapToGrid/>
        <w:spacing w:line="560" w:lineRule="exact"/>
        <w:ind w:left="0" w:leftChars="0" w:firstLine="642" w:firstLineChars="200"/>
        <w:textAlignment w:val="auto"/>
        <w:rPr>
          <w:rFonts w:hint="eastAsia" w:ascii="仿宋" w:hAnsi="仿宋" w:eastAsia="仿宋" w:cs="仿宋"/>
          <w:b w:val="0"/>
          <w:bCs w:val="0"/>
          <w:color w:val="auto"/>
          <w:sz w:val="32"/>
          <w:szCs w:val="22"/>
          <w:lang w:val="en-US" w:eastAsia="zh-CN" w:bidi="ar-SA"/>
        </w:rPr>
      </w:pPr>
      <w:r>
        <w:rPr>
          <w:rFonts w:hint="eastAsia" w:ascii="仿宋" w:hAnsi="仿宋" w:eastAsia="仿宋" w:cs="仿宋"/>
          <w:b/>
          <w:bCs w:val="0"/>
          <w:color w:val="000000"/>
          <w:sz w:val="32"/>
        </w:rPr>
        <w:t>提升项目立项质量</w:t>
      </w:r>
      <w:bookmarkEnd w:id="11"/>
      <w:r>
        <w:rPr>
          <w:rFonts w:hint="eastAsia" w:ascii="仿宋" w:hAnsi="仿宋" w:eastAsia="仿宋" w:cs="仿宋"/>
          <w:b/>
          <w:bCs w:val="0"/>
          <w:color w:val="000000"/>
          <w:sz w:val="32"/>
          <w:lang w:eastAsia="zh-CN"/>
        </w:rPr>
        <w:t>。</w:t>
      </w:r>
      <w:r>
        <w:rPr>
          <w:rFonts w:hint="eastAsia" w:ascii="仿宋" w:hAnsi="仿宋" w:eastAsia="仿宋" w:cs="仿宋"/>
          <w:b w:val="0"/>
          <w:bCs w:val="0"/>
          <w:color w:val="auto"/>
          <w:sz w:val="32"/>
          <w:szCs w:val="22"/>
          <w:lang w:val="en-US" w:eastAsia="en-US" w:bidi="ar-SA"/>
        </w:rPr>
        <w:t>建立高标准农田建设项目储备制度，优先将集中连片、水源有保障、群众意愿高的地块纳入储备</w:t>
      </w:r>
      <w:r>
        <w:rPr>
          <w:rFonts w:hint="eastAsia" w:ascii="仿宋" w:hAnsi="仿宋" w:eastAsia="仿宋" w:cs="仿宋"/>
          <w:b w:val="0"/>
          <w:bCs w:val="0"/>
          <w:color w:val="auto"/>
          <w:sz w:val="32"/>
          <w:szCs w:val="22"/>
          <w:lang w:val="en-US" w:eastAsia="zh-CN" w:bidi="ar-SA"/>
        </w:rPr>
        <w:t>，</w:t>
      </w:r>
      <w:r>
        <w:rPr>
          <w:rFonts w:hint="eastAsia" w:ascii="仿宋" w:hAnsi="仿宋" w:eastAsia="仿宋" w:cs="仿宋"/>
          <w:b w:val="0"/>
          <w:bCs w:val="0"/>
          <w:color w:val="auto"/>
          <w:sz w:val="32"/>
          <w:szCs w:val="22"/>
          <w:lang w:val="en-US" w:eastAsia="en-US" w:bidi="ar-SA"/>
        </w:rPr>
        <w:t>提前谋划、动态更新高标准农田项目库</w:t>
      </w:r>
      <w:r>
        <w:rPr>
          <w:rFonts w:hint="eastAsia" w:ascii="仿宋" w:hAnsi="仿宋" w:eastAsia="仿宋" w:cs="仿宋"/>
          <w:b w:val="0"/>
          <w:bCs w:val="0"/>
          <w:color w:val="auto"/>
          <w:sz w:val="32"/>
          <w:szCs w:val="22"/>
          <w:lang w:val="en-US" w:eastAsia="zh-CN" w:bidi="ar-SA"/>
        </w:rPr>
        <w:t>。科学编制项目初步设计方案，因地制宜提出工程、农艺（农机）、生物、管理等措施，明确建设内容和质量要求、投资和效益目标等，</w:t>
      </w:r>
      <w:r>
        <w:rPr>
          <w:rFonts w:hint="eastAsia" w:ascii="仿宋" w:hAnsi="仿宋" w:eastAsia="仿宋" w:cs="仿宋"/>
          <w:b w:val="0"/>
          <w:bCs w:val="0"/>
          <w:color w:val="auto"/>
          <w:sz w:val="32"/>
          <w:szCs w:val="22"/>
          <w:lang w:val="en-US" w:eastAsia="en-US" w:bidi="ar-SA"/>
        </w:rPr>
        <w:t>严禁借高标准农田建设之名违规兴建楼堂馆所、景观林带等非高标准农田设施，不得违规设置“核心区”“辐射区”。严格</w:t>
      </w:r>
      <w:r>
        <w:rPr>
          <w:rFonts w:hint="eastAsia" w:ascii="仿宋" w:hAnsi="仿宋" w:eastAsia="仿宋" w:cs="仿宋"/>
          <w:b w:val="0"/>
          <w:bCs w:val="0"/>
          <w:color w:val="auto"/>
          <w:sz w:val="32"/>
          <w:szCs w:val="22"/>
          <w:lang w:val="en-US" w:eastAsia="zh-CN" w:bidi="ar-SA"/>
        </w:rPr>
        <w:t>设计方案</w:t>
      </w:r>
      <w:r>
        <w:rPr>
          <w:rFonts w:hint="eastAsia" w:ascii="仿宋" w:hAnsi="仿宋" w:eastAsia="仿宋" w:cs="仿宋"/>
          <w:b w:val="0"/>
          <w:bCs w:val="0"/>
          <w:color w:val="auto"/>
          <w:sz w:val="32"/>
          <w:szCs w:val="22"/>
          <w:lang w:val="en-US" w:eastAsia="en-US" w:bidi="ar-SA"/>
        </w:rPr>
        <w:t>论证审批，</w:t>
      </w:r>
      <w:r>
        <w:rPr>
          <w:rFonts w:hint="eastAsia" w:ascii="仿宋" w:hAnsi="仿宋" w:eastAsia="仿宋" w:cs="仿宋"/>
          <w:b w:val="0"/>
          <w:bCs w:val="0"/>
          <w:color w:val="auto"/>
          <w:sz w:val="32"/>
          <w:szCs w:val="22"/>
          <w:lang w:val="en-US" w:eastAsia="zh-CN" w:bidi="ar-SA"/>
        </w:rPr>
        <w:t>审批主体采取现场踏勘和会议评审方式，逐项目开展评审工作，将项目设计评审可行的项目征求同级有关部门意见，并向社会公示（涉及国家秘密的内容除外），对公示无异议项目，及时批复立项。</w:t>
      </w:r>
      <w:bookmarkStart w:id="12" w:name="_Toc4897"/>
    </w:p>
    <w:p>
      <w:pPr>
        <w:pStyle w:val="31"/>
        <w:pageBreakBefore w:val="0"/>
        <w:numPr>
          <w:ilvl w:val="0"/>
          <w:numId w:val="8"/>
        </w:numPr>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仿宋" w:hAnsi="仿宋" w:eastAsia="仿宋" w:cs="仿宋"/>
          <w:b/>
          <w:bCs w:val="0"/>
          <w:color w:val="000000"/>
          <w:sz w:val="32"/>
        </w:rPr>
        <w:t>加强建设质量监管</w:t>
      </w:r>
      <w:bookmarkEnd w:id="12"/>
      <w:r>
        <w:rPr>
          <w:rFonts w:hint="eastAsia" w:ascii="仿宋" w:hAnsi="仿宋" w:eastAsia="仿宋" w:cs="仿宋"/>
          <w:b/>
          <w:bCs w:val="0"/>
          <w:color w:val="000000"/>
          <w:sz w:val="32"/>
          <w:lang w:eastAsia="zh-CN"/>
        </w:rPr>
        <w:t>。</w:t>
      </w:r>
      <w:r>
        <w:rPr>
          <w:rFonts w:hint="eastAsia" w:ascii="仿宋" w:hAnsi="仿宋" w:eastAsia="仿宋" w:cs="仿宋"/>
          <w:b w:val="0"/>
          <w:bCs w:val="0"/>
          <w:color w:val="auto"/>
          <w:sz w:val="32"/>
          <w:szCs w:val="22"/>
          <w:lang w:val="en-US" w:eastAsia="en-US" w:bidi="ar-SA"/>
        </w:rPr>
        <w:t>严格落实工程质量管理属地责任，规范立项审批、招标采购、施工建设、调整变更、竣工验收、上图入库、建后管护全流程管理。县</w:t>
      </w:r>
      <w:r>
        <w:rPr>
          <w:rFonts w:hint="eastAsia" w:ascii="仿宋" w:hAnsi="仿宋" w:eastAsia="仿宋" w:cs="仿宋"/>
          <w:b w:val="0"/>
          <w:bCs w:val="0"/>
          <w:color w:val="auto"/>
          <w:sz w:val="32"/>
          <w:szCs w:val="22"/>
          <w:lang w:val="en-US" w:eastAsia="zh-CN" w:bidi="ar-SA"/>
        </w:rPr>
        <w:t>区</w:t>
      </w:r>
      <w:r>
        <w:rPr>
          <w:rFonts w:hint="eastAsia" w:ascii="仿宋" w:hAnsi="仿宋" w:eastAsia="仿宋" w:cs="仿宋"/>
          <w:b w:val="0"/>
          <w:bCs w:val="0"/>
          <w:color w:val="auto"/>
          <w:sz w:val="32"/>
          <w:szCs w:val="22"/>
          <w:lang w:val="en-US" w:eastAsia="en-US" w:bidi="ar-SA"/>
        </w:rPr>
        <w:t>推行“建管分离”模式</w:t>
      </w:r>
      <w:r>
        <w:rPr>
          <w:rFonts w:hint="eastAsia" w:ascii="仿宋" w:hAnsi="仿宋" w:eastAsia="仿宋" w:cs="仿宋"/>
          <w:b w:val="0"/>
          <w:bCs w:val="0"/>
          <w:color w:val="auto"/>
          <w:sz w:val="32"/>
          <w:szCs w:val="22"/>
          <w:lang w:val="en-US" w:eastAsia="zh-CN" w:bidi="ar-SA"/>
        </w:rPr>
        <w:t>，推广“</w:t>
      </w:r>
      <w:r>
        <w:rPr>
          <w:rFonts w:hint="eastAsia" w:ascii="仿宋" w:hAnsi="仿宋" w:eastAsia="仿宋" w:cs="仿宋"/>
          <w:b w:val="0"/>
          <w:bCs w:val="0"/>
          <w:color w:val="auto"/>
          <w:sz w:val="32"/>
          <w:szCs w:val="22"/>
          <w:lang w:val="en-US" w:eastAsia="en-US" w:bidi="ar-SA"/>
        </w:rPr>
        <w:t>AI+招标投标</w:t>
      </w:r>
      <w:r>
        <w:rPr>
          <w:rFonts w:hint="eastAsia" w:ascii="仿宋" w:hAnsi="仿宋" w:eastAsia="仿宋" w:cs="仿宋"/>
          <w:b w:val="0"/>
          <w:bCs w:val="0"/>
          <w:color w:val="auto"/>
          <w:sz w:val="32"/>
          <w:szCs w:val="22"/>
          <w:lang w:val="en-US" w:eastAsia="zh-CN" w:bidi="ar-SA"/>
        </w:rPr>
        <w:t>”人工智能技术应用，</w:t>
      </w:r>
      <w:r>
        <w:rPr>
          <w:rFonts w:hint="eastAsia" w:ascii="仿宋" w:hAnsi="仿宋" w:eastAsia="仿宋" w:cs="仿宋"/>
          <w:b w:val="0"/>
          <w:bCs w:val="0"/>
          <w:color w:val="auto"/>
          <w:sz w:val="32"/>
          <w:szCs w:val="22"/>
          <w:lang w:val="en-US" w:eastAsia="en-US" w:bidi="ar-SA"/>
        </w:rPr>
        <w:t>坚决打击围标串标、人为干预、明招暗定、中标价格虚高、弄虚作假骗取中标等违法违规行为</w:t>
      </w:r>
      <w:r>
        <w:rPr>
          <w:rFonts w:hint="eastAsia" w:ascii="仿宋" w:hAnsi="仿宋" w:eastAsia="仿宋" w:cs="仿宋"/>
          <w:b w:val="0"/>
          <w:bCs w:val="0"/>
          <w:color w:val="auto"/>
          <w:sz w:val="32"/>
          <w:szCs w:val="22"/>
          <w:lang w:val="en-US" w:eastAsia="zh-CN" w:bidi="ar-SA"/>
        </w:rPr>
        <w:t>，</w:t>
      </w:r>
      <w:r>
        <w:rPr>
          <w:rFonts w:hint="eastAsia" w:ascii="仿宋" w:hAnsi="仿宋" w:eastAsia="仿宋" w:cs="仿宋"/>
          <w:b w:val="0"/>
          <w:bCs w:val="0"/>
          <w:color w:val="auto"/>
          <w:sz w:val="32"/>
          <w:szCs w:val="22"/>
          <w:lang w:val="en-US" w:eastAsia="en-US" w:bidi="ar-SA"/>
        </w:rPr>
        <w:t>健全农业农村部门、乡镇人民政府、施工单位、专业监理、第三方检测机构、农民监督员“六位一体”监管体系。落实《淮南市高标准农田建设全程质量管理办法》，建立群众全过程参与机制，保障农民知情权、参与权、监督权。开展常态化质量抽检，探索运用遥感、无人机航测、物联网大数据分析等信息技术，实现项目建设全过程动态监管。开展从业机构信用评价，加大违规失信惩戒力度，限制存在违法违规失信记录的单位和个人参与高标准农田建设。</w:t>
      </w:r>
      <w:bookmarkStart w:id="13" w:name="_Toc13198"/>
      <w:r>
        <w:rPr>
          <w:rFonts w:hint="eastAsia" w:ascii="仿宋" w:hAnsi="仿宋" w:cs="仿宋"/>
          <w:b w:val="0"/>
          <w:bCs w:val="0"/>
          <w:color w:val="auto"/>
          <w:sz w:val="32"/>
          <w:szCs w:val="22"/>
          <w:lang w:val="en-US" w:eastAsia="zh-CN" w:bidi="ar-SA"/>
        </w:rPr>
        <w:t xml:space="preserve">  </w:t>
      </w:r>
    </w:p>
    <w:p>
      <w:pPr>
        <w:pStyle w:val="31"/>
        <w:pageBreakBefore w:val="0"/>
        <w:numPr>
          <w:ilvl w:val="0"/>
          <w:numId w:val="8"/>
        </w:numPr>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仿宋" w:hAnsi="仿宋" w:eastAsia="仿宋" w:cs="仿宋"/>
          <w:b/>
          <w:bCs w:val="0"/>
          <w:color w:val="000000"/>
          <w:sz w:val="32"/>
        </w:rPr>
        <w:t>严格竣工验收程序</w:t>
      </w:r>
      <w:bookmarkEnd w:id="13"/>
      <w:r>
        <w:rPr>
          <w:rFonts w:hint="eastAsia" w:ascii="仿宋" w:hAnsi="仿宋" w:eastAsia="仿宋" w:cs="仿宋"/>
          <w:b/>
          <w:bCs w:val="0"/>
          <w:color w:val="000000"/>
          <w:sz w:val="32"/>
          <w:lang w:eastAsia="zh-CN"/>
        </w:rPr>
        <w:t>。</w:t>
      </w:r>
      <w:r>
        <w:rPr>
          <w:rFonts w:hint="eastAsia" w:ascii="仿宋" w:hAnsi="仿宋" w:eastAsia="仿宋" w:cs="仿宋"/>
          <w:b w:val="0"/>
          <w:bCs w:val="0"/>
          <w:color w:val="auto"/>
          <w:sz w:val="32"/>
          <w:szCs w:val="22"/>
          <w:lang w:val="en-US" w:eastAsia="en-US" w:bidi="ar-SA"/>
        </w:rPr>
        <w:t>坚持“谁审批、谁验收”原则，落实县级初验、市级验收、省级抽查工作机制，压实验收管理责任。单元工程（工序）未经验收或验收不合格，不得进入下一单元工程（工序）施工；严格执行隐蔽工程举牌验收制度，未经验收或验收不合格的隐蔽工程不得隐蔽。工程完工后及时组织</w:t>
      </w:r>
      <w:r>
        <w:rPr>
          <w:rFonts w:hint="eastAsia" w:ascii="仿宋" w:hAnsi="仿宋" w:eastAsia="仿宋" w:cs="仿宋"/>
          <w:b w:val="0"/>
          <w:bCs w:val="0"/>
          <w:color w:val="auto"/>
          <w:sz w:val="32"/>
          <w:szCs w:val="22"/>
          <w:lang w:val="en-US" w:eastAsia="zh-CN" w:bidi="ar-SA"/>
        </w:rPr>
        <w:t>3-6个月</w:t>
      </w:r>
      <w:r>
        <w:rPr>
          <w:rFonts w:hint="eastAsia" w:ascii="仿宋" w:hAnsi="仿宋" w:eastAsia="仿宋" w:cs="仿宋"/>
          <w:b w:val="0"/>
          <w:bCs w:val="0"/>
          <w:color w:val="auto"/>
          <w:sz w:val="32"/>
          <w:szCs w:val="22"/>
          <w:lang w:val="en-US" w:eastAsia="en-US" w:bidi="ar-SA"/>
        </w:rPr>
        <w:t>设施试</w:t>
      </w:r>
      <w:r>
        <w:rPr>
          <w:rFonts w:hint="eastAsia" w:ascii="仿宋" w:hAnsi="仿宋" w:eastAsia="仿宋" w:cs="仿宋"/>
          <w:b w:val="0"/>
          <w:bCs w:val="0"/>
          <w:color w:val="auto"/>
          <w:sz w:val="32"/>
          <w:szCs w:val="22"/>
          <w:lang w:val="en-US" w:eastAsia="zh-CN" w:bidi="ar-SA"/>
        </w:rPr>
        <w:t>用</w:t>
      </w:r>
      <w:r>
        <w:rPr>
          <w:rFonts w:hint="eastAsia" w:ascii="仿宋" w:hAnsi="仿宋" w:eastAsia="仿宋" w:cs="仿宋"/>
          <w:b w:val="0"/>
          <w:bCs w:val="0"/>
          <w:color w:val="auto"/>
          <w:sz w:val="32"/>
          <w:szCs w:val="22"/>
          <w:lang w:val="en-US" w:eastAsia="en-US" w:bidi="ar-SA"/>
        </w:rPr>
        <w:t>，</w:t>
      </w:r>
      <w:r>
        <w:rPr>
          <w:rFonts w:hint="eastAsia" w:ascii="仿宋" w:hAnsi="仿宋" w:eastAsia="仿宋" w:cs="仿宋"/>
          <w:b w:val="0"/>
          <w:bCs w:val="0"/>
          <w:color w:val="auto"/>
          <w:sz w:val="32"/>
          <w:szCs w:val="22"/>
          <w:lang w:val="en-US" w:eastAsia="zh-CN" w:bidi="ar-SA"/>
        </w:rPr>
        <w:t>试用合格</w:t>
      </w:r>
      <w:r>
        <w:rPr>
          <w:rFonts w:hint="eastAsia" w:ascii="仿宋" w:hAnsi="仿宋" w:eastAsia="仿宋" w:cs="仿宋"/>
          <w:b w:val="0"/>
          <w:bCs w:val="0"/>
          <w:color w:val="auto"/>
          <w:sz w:val="32"/>
          <w:szCs w:val="22"/>
          <w:lang w:val="en-US" w:eastAsia="en-US" w:bidi="ar-SA"/>
        </w:rPr>
        <w:t>方可启动初步验收。县级农业农村</w:t>
      </w:r>
      <w:r>
        <w:rPr>
          <w:rFonts w:hint="eastAsia" w:ascii="仿宋" w:hAnsi="仿宋" w:eastAsia="仿宋" w:cs="仿宋"/>
          <w:b w:val="0"/>
          <w:bCs w:val="0"/>
          <w:color w:val="auto"/>
          <w:sz w:val="32"/>
          <w:szCs w:val="22"/>
          <w:lang w:val="en-US" w:eastAsia="zh-CN" w:bidi="ar-SA"/>
        </w:rPr>
        <w:t>主管</w:t>
      </w:r>
      <w:r>
        <w:rPr>
          <w:rFonts w:hint="eastAsia" w:ascii="仿宋" w:hAnsi="仿宋" w:eastAsia="仿宋" w:cs="仿宋"/>
          <w:b w:val="0"/>
          <w:bCs w:val="0"/>
          <w:color w:val="auto"/>
          <w:sz w:val="32"/>
          <w:szCs w:val="22"/>
          <w:lang w:val="en-US" w:eastAsia="en-US" w:bidi="ar-SA"/>
        </w:rPr>
        <w:t>部门组织</w:t>
      </w:r>
      <w:r>
        <w:rPr>
          <w:rFonts w:hint="eastAsia" w:ascii="仿宋" w:hAnsi="仿宋" w:eastAsia="仿宋" w:cs="仿宋"/>
          <w:b w:val="0"/>
          <w:bCs w:val="0"/>
          <w:color w:val="auto"/>
          <w:sz w:val="32"/>
          <w:szCs w:val="22"/>
          <w:lang w:val="en-US" w:eastAsia="zh-CN" w:bidi="ar-SA"/>
        </w:rPr>
        <w:t>项目</w:t>
      </w:r>
      <w:r>
        <w:rPr>
          <w:rFonts w:hint="eastAsia" w:ascii="仿宋" w:hAnsi="仿宋" w:eastAsia="仿宋" w:cs="仿宋"/>
          <w:b w:val="0"/>
          <w:bCs w:val="0"/>
          <w:color w:val="auto"/>
          <w:sz w:val="32"/>
          <w:szCs w:val="22"/>
          <w:lang w:val="en-US" w:eastAsia="en-US" w:bidi="ar-SA"/>
        </w:rPr>
        <w:t>初步验收、资产登记移交等工作，全面核实建设数量、工程质量、项目管理等情况，同步开展分类分级评价，不符合标准的不得认定为高标准农田。市级组织</w:t>
      </w:r>
      <w:r>
        <w:rPr>
          <w:rFonts w:hint="eastAsia" w:ascii="仿宋" w:hAnsi="仿宋" w:eastAsia="仿宋" w:cs="仿宋"/>
          <w:b w:val="0"/>
          <w:bCs w:val="0"/>
          <w:color w:val="auto"/>
          <w:sz w:val="32"/>
          <w:szCs w:val="22"/>
          <w:lang w:val="en-US" w:eastAsia="zh-CN" w:bidi="ar-SA"/>
        </w:rPr>
        <w:t>项目</w:t>
      </w:r>
      <w:r>
        <w:rPr>
          <w:rFonts w:hint="eastAsia" w:ascii="仿宋" w:hAnsi="仿宋" w:eastAsia="仿宋" w:cs="仿宋"/>
          <w:b w:val="0"/>
          <w:bCs w:val="0"/>
          <w:color w:val="auto"/>
          <w:sz w:val="32"/>
          <w:szCs w:val="22"/>
          <w:lang w:val="en-US" w:eastAsia="en-US" w:bidi="ar-SA"/>
        </w:rPr>
        <w:t>竣工验收，覆盖全部项目地块、工程及设施，重点核查初步设计完成、资金管理使用、项目建设管理、工程设施试运行、群众满意度、上图入库及管护主体落实等情况。</w:t>
      </w:r>
      <w:bookmarkStart w:id="14" w:name="_Toc20697"/>
    </w:p>
    <w:p>
      <w:pPr>
        <w:pStyle w:val="31"/>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 w:hAnsi="仿宋" w:eastAsia="仿宋" w:cs="仿宋"/>
          <w:b w:val="0"/>
          <w:bCs w:val="0"/>
          <w:color w:val="auto"/>
          <w:sz w:val="32"/>
          <w:szCs w:val="22"/>
          <w:lang w:val="en-US" w:eastAsia="en-US" w:bidi="ar-SA"/>
        </w:rPr>
      </w:pPr>
      <w:r>
        <w:rPr>
          <w:rFonts w:hint="eastAsia" w:ascii="仿宋" w:hAnsi="仿宋" w:eastAsia="仿宋" w:cs="仿宋"/>
          <w:b/>
          <w:bCs w:val="0"/>
          <w:color w:val="000000"/>
          <w:sz w:val="32"/>
        </w:rPr>
        <w:t>（四）健全长效运管机制</w:t>
      </w:r>
      <w:bookmarkEnd w:id="14"/>
      <w:r>
        <w:rPr>
          <w:rFonts w:hint="eastAsia" w:ascii="仿宋" w:hAnsi="仿宋" w:eastAsia="仿宋" w:cs="仿宋"/>
          <w:b/>
          <w:bCs w:val="0"/>
          <w:color w:val="000000"/>
          <w:sz w:val="32"/>
          <w:lang w:eastAsia="zh-CN"/>
        </w:rPr>
        <w:t>。</w:t>
      </w:r>
      <w:r>
        <w:rPr>
          <w:rFonts w:hint="eastAsia" w:ascii="仿宋" w:hAnsi="仿宋" w:eastAsia="仿宋" w:cs="仿宋"/>
          <w:b w:val="0"/>
          <w:bCs w:val="0"/>
          <w:color w:val="auto"/>
          <w:sz w:val="32"/>
          <w:szCs w:val="22"/>
          <w:lang w:val="en-US" w:eastAsia="en-US" w:bidi="ar-SA"/>
        </w:rPr>
        <w:t>落实管护资金保障渠道，将运营管护作为项目立项前置条件和竣工验收重要内容。县区人民政府对运营管护负主体责任，制定本地实施细则，明确工程设施运营管护标准、流程和考核办法。将高标准农田运营管护纳入乡镇履行职责事项清单。农业农村、水利、电力等部门按照职责分工加强监管指导。因地制宜推行自主化、网格化、市场化、专业化等管护模式，鼓励有条件的地区将高标准农田工程设施管护纳入农村公共基础设施管护。严格执行永久基本农田保护红线管理办法，落实永久基本农田划定规则及补划、调整程序，确保永久基本农田数量不减少、质量不降低。严格保护高标准农田，严禁任何组织和个人擅自占用、损毁高标准农田设施。</w:t>
      </w:r>
    </w:p>
    <w:p>
      <w:pPr>
        <w:pStyle w:val="22"/>
        <w:keepNext w:val="0"/>
        <w:keepLines w:val="0"/>
        <w:pageBreakBefore w:val="0"/>
        <w:kinsoku/>
        <w:wordWrap/>
        <w:overflowPunct/>
        <w:topLinePunct w:val="0"/>
        <w:autoSpaceDE/>
        <w:autoSpaceDN/>
        <w:bidi w:val="0"/>
        <w:adjustRightInd/>
        <w:snapToGrid/>
        <w:spacing w:after="0" w:line="560" w:lineRule="exact"/>
        <w:ind w:left="0" w:leftChars="0" w:firstLine="642" w:firstLineChars="200"/>
        <w:jc w:val="both"/>
        <w:textAlignment w:val="auto"/>
        <w:rPr>
          <w:rFonts w:hint="eastAsia" w:ascii="仿宋" w:hAnsi="仿宋" w:eastAsia="仿宋" w:cs="仿宋"/>
        </w:rPr>
      </w:pPr>
      <w:bookmarkStart w:id="15" w:name="_Toc23089"/>
      <w:r>
        <w:rPr>
          <w:rFonts w:hint="eastAsia" w:ascii="仿宋" w:hAnsi="仿宋" w:eastAsia="仿宋" w:cs="仿宋"/>
          <w:b/>
          <w:bCs w:val="0"/>
          <w:color w:val="000000"/>
          <w:sz w:val="32"/>
        </w:rPr>
        <w:t>（五）强化科技智慧赋能</w:t>
      </w:r>
      <w:bookmarkEnd w:id="15"/>
      <w:r>
        <w:rPr>
          <w:rFonts w:hint="eastAsia" w:ascii="仿宋" w:hAnsi="仿宋" w:eastAsia="仿宋" w:cs="仿宋"/>
          <w:b/>
          <w:bCs w:val="0"/>
          <w:color w:val="000000"/>
          <w:sz w:val="32"/>
          <w:lang w:eastAsia="zh-CN"/>
        </w:rPr>
        <w:t>。</w:t>
      </w:r>
      <w:r>
        <w:rPr>
          <w:rFonts w:hint="eastAsia" w:ascii="仿宋" w:hAnsi="仿宋" w:eastAsia="仿宋" w:cs="仿宋"/>
          <w:b w:val="0"/>
          <w:bCs w:val="0"/>
          <w:color w:val="auto"/>
          <w:sz w:val="32"/>
          <w:szCs w:val="22"/>
          <w:lang w:val="en-US" w:eastAsia="zh-CN" w:bidi="ar-SA"/>
        </w:rPr>
        <w:t>用好农业农村部全国农田建设监测监管平台，健全</w:t>
      </w:r>
      <w:r>
        <w:rPr>
          <w:rFonts w:hint="eastAsia" w:ascii="仿宋" w:hAnsi="仿宋" w:eastAsia="仿宋" w:cs="仿宋"/>
          <w:b w:val="0"/>
          <w:bCs w:val="0"/>
          <w:color w:val="auto"/>
          <w:sz w:val="32"/>
          <w:szCs w:val="22"/>
          <w:lang w:val="en-US" w:eastAsia="en-US" w:bidi="ar-SA"/>
        </w:rPr>
        <w:t>全市高标准农田建设管理信息系统，推动高标准农田数据与国土空间规划“一张图”系统互联互通，提升项目全流程数字化管理水平。引进推广农田建设先进适用技术，加强与农机农艺技术的集成应用。加快农田新型基础设施建设与升级改造，合理布局田间智能监测设备，完善农业气象、苗情、土壤墒情、病虫害、灾情等监测预警网络。鼓励经营主体自主建设水肥一体化、智能灌溉等信息化设施，探索多元“智慧农田”“生态农田”建设模式。推进高标准农田上图入库常态化、规范化，及时准确更新建设成果数据，做到“建成一块、上图一块、入库一块”。加强数据共享应用，为项目安排、竣工验收、管护监督和粮食安全考核提供数据支撑，实现以数据管田、以数据促建、以数据强管。推行项目档案全流程规范化管理，鼓励县区建立电子化项目档案库。</w:t>
      </w:r>
    </w:p>
    <w:p>
      <w:pPr>
        <w:keepNext w:val="0"/>
        <w:keepLines w:val="0"/>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hint="eastAsia" w:ascii="仿宋" w:hAnsi="仿宋" w:eastAsia="仿宋" w:cs="仿宋"/>
          <w:b w:val="0"/>
          <w:sz w:val="32"/>
        </w:rPr>
      </w:pPr>
      <w:bookmarkStart w:id="16" w:name="_Toc17328"/>
      <w:r>
        <w:rPr>
          <w:rFonts w:hint="eastAsia" w:ascii="仿宋" w:hAnsi="仿宋" w:eastAsia="仿宋" w:cs="仿宋"/>
          <w:b/>
          <w:bCs w:val="0"/>
          <w:color w:val="000000"/>
          <w:sz w:val="32"/>
        </w:rPr>
        <w:t>（六）规范资金使用管理</w:t>
      </w:r>
      <w:bookmarkEnd w:id="16"/>
      <w:r>
        <w:rPr>
          <w:rFonts w:hint="eastAsia" w:ascii="仿宋" w:hAnsi="仿宋" w:eastAsia="仿宋" w:cs="仿宋"/>
          <w:b/>
          <w:bCs w:val="0"/>
          <w:color w:val="000000"/>
          <w:sz w:val="32"/>
          <w:lang w:eastAsia="zh-CN"/>
        </w:rPr>
        <w:t>。</w:t>
      </w:r>
      <w:r>
        <w:rPr>
          <w:rFonts w:hint="eastAsia" w:ascii="仿宋" w:hAnsi="仿宋" w:eastAsia="仿宋" w:cs="仿宋"/>
          <w:b w:val="0"/>
          <w:sz w:val="32"/>
        </w:rPr>
        <w:t>健全建设和运营管护多元化投入机制，市财政将农田建设管护经费纳入年度预算予以保障，支持县区层面探索设立管护专项资金</w:t>
      </w:r>
      <w:r>
        <w:rPr>
          <w:rFonts w:hint="eastAsia" w:ascii="仿宋" w:hAnsi="仿宋" w:cs="仿宋"/>
          <w:b w:val="0"/>
          <w:sz w:val="32"/>
          <w:lang w:eastAsia="zh-CN"/>
        </w:rPr>
        <w:t>。</w:t>
      </w:r>
      <w:r>
        <w:rPr>
          <w:rFonts w:hint="eastAsia" w:ascii="仿宋" w:hAnsi="仿宋" w:eastAsia="仿宋" w:cs="仿宋"/>
          <w:b w:val="0"/>
          <w:sz w:val="32"/>
        </w:rPr>
        <w:t>深化“农业保险</w:t>
      </w:r>
      <w:r>
        <w:rPr>
          <w:rFonts w:hint="eastAsia" w:ascii="仿宋" w:hAnsi="仿宋" w:cs="仿宋"/>
          <w:b w:val="0"/>
          <w:sz w:val="32"/>
          <w:lang w:val="en-US" w:eastAsia="zh-CN"/>
        </w:rPr>
        <w:t>+</w:t>
      </w:r>
      <w:r>
        <w:rPr>
          <w:rFonts w:hint="eastAsia" w:ascii="仿宋" w:hAnsi="仿宋" w:eastAsia="仿宋" w:cs="仿宋"/>
          <w:b w:val="0"/>
          <w:sz w:val="32"/>
        </w:rPr>
        <w:t>”改革，</w:t>
      </w:r>
      <w:r>
        <w:rPr>
          <w:rFonts w:hint="eastAsia" w:ascii="仿宋" w:hAnsi="仿宋" w:cs="仿宋"/>
          <w:b w:val="0"/>
          <w:sz w:val="32"/>
          <w:lang w:eastAsia="zh-CN"/>
        </w:rPr>
        <w:t>在不新增地方政府隐</w:t>
      </w:r>
      <w:r>
        <w:rPr>
          <w:rFonts w:hint="eastAsia" w:ascii="仿宋" w:hAnsi="仿宋" w:cs="仿宋"/>
          <w:b w:val="0"/>
          <w:sz w:val="32"/>
          <w:lang w:val="en-US" w:eastAsia="zh-CN"/>
        </w:rPr>
        <w:t>性</w:t>
      </w:r>
      <w:r>
        <w:rPr>
          <w:rFonts w:hint="eastAsia" w:ascii="仿宋" w:hAnsi="仿宋" w:cs="仿宋"/>
          <w:b w:val="0"/>
          <w:sz w:val="32"/>
          <w:lang w:eastAsia="zh-CN"/>
        </w:rPr>
        <w:t>债务的前提下，鼓励县区有序引导</w:t>
      </w:r>
      <w:r>
        <w:rPr>
          <w:rFonts w:hint="eastAsia" w:ascii="仿宋" w:hAnsi="仿宋" w:eastAsia="仿宋" w:cs="仿宋"/>
          <w:b w:val="0"/>
          <w:sz w:val="32"/>
        </w:rPr>
        <w:t>金融、社会投资、新型农业经营主体等参与建设和运营管护。加强资金日常监管、预警监控与专项核查，坚决杜绝以拨代支、套取截留、挤占挪用等违规行为。</w:t>
      </w:r>
      <w:r>
        <w:rPr>
          <w:rFonts w:hint="eastAsia" w:ascii="仿宋" w:hAnsi="仿宋" w:cs="仿宋"/>
          <w:b w:val="0"/>
          <w:sz w:val="32"/>
          <w:lang w:eastAsia="zh-CN"/>
        </w:rPr>
        <w:t>在</w:t>
      </w:r>
      <w:r>
        <w:rPr>
          <w:rFonts w:hint="eastAsia" w:ascii="仿宋" w:hAnsi="仿宋" w:eastAsia="仿宋" w:cs="仿宋"/>
          <w:b w:val="0"/>
          <w:sz w:val="32"/>
        </w:rPr>
        <w:t>县级财政部门或乡镇国库单一账户下设立高标准农田建设资金专门子账户，实行专账管理，确保专款专用。县级农业农村部门应按资金管理规定、合同约定、竣工决算审计等，对设计、施工、监理等参建单位报账申请的内容、金额、资料等进行合规性、真实性、完整性审核，及时向县级财政部门办理支付申请。县级财政部门</w:t>
      </w:r>
      <w:r>
        <w:rPr>
          <w:rFonts w:hint="eastAsia" w:ascii="仿宋" w:hAnsi="仿宋" w:cs="仿宋"/>
          <w:b w:val="0"/>
          <w:sz w:val="32"/>
          <w:lang w:val="en-US" w:eastAsia="zh-CN"/>
        </w:rPr>
        <w:t>按规定</w:t>
      </w:r>
      <w:r>
        <w:rPr>
          <w:rFonts w:hint="eastAsia" w:ascii="仿宋" w:hAnsi="仿宋" w:eastAsia="仿宋" w:cs="仿宋"/>
          <w:b w:val="0"/>
          <w:sz w:val="32"/>
        </w:rPr>
        <w:t>及时办理资金支付。</w:t>
      </w:r>
    </w:p>
    <w:p>
      <w:pPr>
        <w:pageBreakBefore w:val="0"/>
        <w:widowControl w:val="0"/>
        <w:kinsoku/>
        <w:wordWrap/>
        <w:overflowPunct/>
        <w:topLinePunct w:val="0"/>
        <w:autoSpaceDE/>
        <w:autoSpaceDN/>
        <w:bidi w:val="0"/>
        <w:adjustRightInd/>
        <w:snapToGrid/>
        <w:spacing w:before="0" w:line="560" w:lineRule="exact"/>
        <w:ind w:firstLine="640" w:firstLineChars="200"/>
        <w:jc w:val="both"/>
        <w:textAlignment w:val="auto"/>
        <w:outlineLvl w:val="9"/>
        <w:rPr>
          <w:rFonts w:hint="eastAsia" w:ascii="仿宋" w:hAnsi="仿宋" w:eastAsia="仿宋_GB2312" w:cs="仿宋"/>
          <w:b w:val="0"/>
          <w:sz w:val="32"/>
          <w:lang w:eastAsia="zh-CN"/>
        </w:rPr>
      </w:pPr>
      <w:r>
        <w:rPr>
          <w:rFonts w:hint="eastAsia" w:ascii="仿宋" w:hAnsi="仿宋" w:cs="仿宋"/>
          <w:b w:val="0"/>
          <w:sz w:val="32"/>
          <w:lang w:eastAsia="zh-CN"/>
        </w:rPr>
        <w:t>坚持和加强党对高标准农田建设的领导，落实省负总责、市县抓落实、群众参与的工作机制。完成省政府对目标任务落实、资金筹措、建设进度、工程质量、运营管护等各项工作要求；市政府对项目实施进度、工程质量、竣工验收、资金使用、运营管护等承担起主要监管职责；县区政府对项目实施、工程质量、资金使用、运营管护等负主体职责。农业农村部门履行统一管理统一管理职责，强化统一协调与跟踪评估，高质量推动建设任务；发展改革部门负责</w:t>
      </w:r>
      <w:r>
        <w:rPr>
          <w:rFonts w:hint="eastAsia" w:ascii="仿宋" w:hAnsi="仿宋" w:cs="仿宋"/>
          <w:b w:val="0"/>
          <w:sz w:val="32"/>
          <w:lang w:val="en-US" w:eastAsia="zh-CN"/>
        </w:rPr>
        <w:t>超长期特别国债项目申报，投资计划管理等工作，参与超长期特别国债投资的高标准农田建设项目设计方案集中审核、批前审查工作；自然资源部门</w:t>
      </w:r>
      <w:r>
        <w:rPr>
          <w:rFonts w:hint="eastAsia" w:eastAsia="仿宋_GB2312" w:cs="Times New Roman"/>
          <w:sz w:val="32"/>
          <w:szCs w:val="32"/>
          <w:highlight w:val="none"/>
          <w:lang w:val="en-US" w:eastAsia="zh-CN"/>
        </w:rPr>
        <w:t>负责</w:t>
      </w:r>
      <w:r>
        <w:rPr>
          <w:rFonts w:hint="eastAsia" w:ascii="Times New Roman" w:hAnsi="Times New Roman" w:eastAsia="仿宋_GB2312" w:cs="Times New Roman"/>
          <w:sz w:val="32"/>
          <w:szCs w:val="32"/>
          <w:highlight w:val="none"/>
          <w:lang w:val="en-US" w:eastAsia="zh-CN"/>
        </w:rPr>
        <w:t>指导</w:t>
      </w:r>
      <w:r>
        <w:rPr>
          <w:rFonts w:hint="eastAsia" w:eastAsia="仿宋_GB2312" w:cs="Times New Roman"/>
          <w:sz w:val="32"/>
          <w:szCs w:val="32"/>
          <w:highlight w:val="none"/>
          <w:lang w:val="en-US" w:eastAsia="zh-CN"/>
        </w:rPr>
        <w:t>设计</w:t>
      </w:r>
      <w:r>
        <w:rPr>
          <w:rFonts w:hint="eastAsia" w:ascii="Times New Roman" w:hAnsi="Times New Roman" w:eastAsia="仿宋_GB2312" w:cs="Times New Roman"/>
          <w:sz w:val="32"/>
          <w:szCs w:val="32"/>
          <w:highlight w:val="none"/>
          <w:lang w:val="en-US" w:eastAsia="zh-CN"/>
        </w:rPr>
        <w:t>单位套合拟建高标准农田项目地类现状、进行新增耕地开发潜力比对分析、提供年度变更调查基础数据和新增耕地指标效益测算等工作</w:t>
      </w:r>
      <w:r>
        <w:rPr>
          <w:rFonts w:hint="eastAsia" w:eastAsia="仿宋_GB2312" w:cs="Times New Roman"/>
          <w:sz w:val="32"/>
          <w:szCs w:val="32"/>
          <w:highlight w:val="none"/>
          <w:lang w:eastAsia="zh-CN"/>
        </w:rPr>
        <w:t>。</w:t>
      </w:r>
      <w:r>
        <w:rPr>
          <w:rFonts w:hint="eastAsia" w:eastAsia="仿宋_GB2312" w:cs="Times New Roman"/>
          <w:sz w:val="32"/>
          <w:szCs w:val="32"/>
          <w:highlight w:val="none"/>
          <w:lang w:val="en-US" w:eastAsia="zh-CN"/>
        </w:rPr>
        <w:t>负责永久基本农田补划调整与占用高标准农田用地审批等工作</w:t>
      </w:r>
      <w:r>
        <w:rPr>
          <w:rFonts w:hint="eastAsia" w:eastAsia="仿宋_GB2312" w:cs="Times New Roman"/>
          <w:sz w:val="32"/>
          <w:szCs w:val="32"/>
          <w:lang w:eastAsia="zh-CN"/>
        </w:rPr>
        <w:t>；水利部门</w:t>
      </w:r>
      <w:r>
        <w:rPr>
          <w:rFonts w:hint="eastAsia" w:ascii="Times New Roman" w:hAnsi="Times New Roman" w:eastAsia="仿宋_GB2312" w:cs="Times New Roman"/>
          <w:sz w:val="32"/>
          <w:szCs w:val="32"/>
          <w:highlight w:val="none"/>
        </w:rPr>
        <w:t>负责</w:t>
      </w:r>
      <w:r>
        <w:rPr>
          <w:rFonts w:ascii="Times New Roman" w:hAnsi="Times New Roman" w:eastAsia="仿宋_GB2312" w:cs="Times New Roman"/>
          <w:sz w:val="32"/>
          <w:szCs w:val="32"/>
          <w:highlight w:val="none"/>
        </w:rPr>
        <w:t>提供</w:t>
      </w:r>
      <w:r>
        <w:rPr>
          <w:rFonts w:hint="eastAsia" w:ascii="Times New Roman" w:hAnsi="Times New Roman" w:eastAsia="仿宋_GB2312" w:cs="Times New Roman"/>
          <w:sz w:val="32"/>
          <w:szCs w:val="32"/>
          <w:highlight w:val="none"/>
          <w:lang w:val="en-US" w:eastAsia="zh-CN"/>
        </w:rPr>
        <w:t>项目区水资源相关资料、</w:t>
      </w:r>
      <w:r>
        <w:rPr>
          <w:rFonts w:ascii="Times New Roman" w:hAnsi="Times New Roman" w:eastAsia="仿宋_GB2312" w:cs="Times New Roman"/>
          <w:sz w:val="32"/>
          <w:szCs w:val="32"/>
          <w:highlight w:val="none"/>
        </w:rPr>
        <w:t>中型灌区工程图、计划实施中型灌区</w:t>
      </w:r>
      <w:r>
        <w:rPr>
          <w:rFonts w:hint="eastAsia" w:ascii="Times New Roman" w:hAnsi="Times New Roman" w:eastAsia="仿宋_GB2312" w:cs="Times New Roman"/>
          <w:color w:val="000000"/>
          <w:kern w:val="2"/>
          <w:sz w:val="32"/>
          <w:szCs w:val="32"/>
          <w:highlight w:val="none"/>
          <w:lang w:val="en-US" w:eastAsia="zh-CN" w:bidi="ar-SA"/>
        </w:rPr>
        <w:t>续建配套</w:t>
      </w:r>
      <w:r>
        <w:rPr>
          <w:rFonts w:hint="eastAsia" w:eastAsia="仿宋_GB2312" w:cs="Times New Roman"/>
          <w:color w:val="000000"/>
          <w:kern w:val="2"/>
          <w:sz w:val="32"/>
          <w:szCs w:val="32"/>
          <w:highlight w:val="none"/>
          <w:lang w:val="en-US" w:eastAsia="zh-CN" w:bidi="ar-SA"/>
        </w:rPr>
        <w:t>与现代化改造</w:t>
      </w:r>
      <w:r>
        <w:rPr>
          <w:rFonts w:hint="eastAsia" w:ascii="Times New Roman" w:hAnsi="Times New Roman" w:eastAsia="仿宋_GB2312" w:cs="Times New Roman"/>
          <w:color w:val="000000"/>
          <w:kern w:val="2"/>
          <w:sz w:val="32"/>
          <w:szCs w:val="32"/>
          <w:highlight w:val="none"/>
          <w:lang w:val="en-US" w:eastAsia="zh-CN" w:bidi="ar-SA"/>
        </w:rPr>
        <w:t>项目</w:t>
      </w:r>
      <w:r>
        <w:rPr>
          <w:rFonts w:ascii="Times New Roman" w:hAnsi="Times New Roman" w:eastAsia="仿宋_GB2312" w:cs="Times New Roman"/>
          <w:sz w:val="32"/>
          <w:szCs w:val="32"/>
          <w:highlight w:val="none"/>
        </w:rPr>
        <w:t>及河道</w:t>
      </w:r>
      <w:r>
        <w:rPr>
          <w:rFonts w:hint="eastAsia" w:eastAsia="仿宋_GB2312" w:cs="Times New Roman"/>
          <w:sz w:val="32"/>
          <w:szCs w:val="32"/>
          <w:highlight w:val="none"/>
          <w:lang w:val="en-US" w:eastAsia="zh-CN"/>
        </w:rPr>
        <w:t>管理</w:t>
      </w:r>
      <w:r>
        <w:rPr>
          <w:rFonts w:hint="eastAsia" w:ascii="Times New Roman" w:hAnsi="Times New Roman" w:eastAsia="仿宋_GB2312" w:cs="Times New Roman"/>
          <w:sz w:val="32"/>
          <w:szCs w:val="32"/>
          <w:highlight w:val="none"/>
        </w:rPr>
        <w:t>保护</w:t>
      </w:r>
      <w:r>
        <w:rPr>
          <w:rFonts w:ascii="Times New Roman" w:hAnsi="Times New Roman" w:eastAsia="仿宋_GB2312" w:cs="Times New Roman"/>
          <w:sz w:val="32"/>
          <w:szCs w:val="32"/>
          <w:highlight w:val="none"/>
        </w:rPr>
        <w:t>范围等相关数据</w:t>
      </w:r>
      <w:r>
        <w:rPr>
          <w:rFonts w:hint="eastAsia" w:eastAsia="仿宋_GB2312" w:cs="Times New Roman"/>
          <w:sz w:val="32"/>
          <w:szCs w:val="32"/>
          <w:highlight w:val="none"/>
          <w:lang w:eastAsia="zh-CN"/>
        </w:rPr>
        <w:t>。</w:t>
      </w:r>
      <w:r>
        <w:rPr>
          <w:rFonts w:hint="eastAsia" w:eastAsia="仿宋_GB2312" w:cs="Times New Roman"/>
          <w:sz w:val="32"/>
          <w:szCs w:val="32"/>
          <w:highlight w:val="none"/>
          <w:lang w:val="en-US" w:eastAsia="zh-CN"/>
        </w:rPr>
        <w:t>统筹水资源调配与骨干水利设施建设等工作</w:t>
      </w:r>
      <w:r>
        <w:rPr>
          <w:rFonts w:hint="eastAsia" w:eastAsia="仿宋_GB2312" w:cs="Times New Roman"/>
          <w:color w:val="000000"/>
          <w:sz w:val="32"/>
          <w:szCs w:val="32"/>
          <w:highlight w:val="none"/>
          <w:lang w:eastAsia="zh-CN"/>
        </w:rPr>
        <w:t>；</w:t>
      </w:r>
      <w:r>
        <w:rPr>
          <w:rFonts w:hint="eastAsia" w:ascii="Times New Roman" w:hAnsi="Times New Roman" w:eastAsia="仿宋_GB2312" w:cs="Times New Roman"/>
          <w:color w:val="auto"/>
          <w:kern w:val="0"/>
          <w:sz w:val="32"/>
          <w:szCs w:val="32"/>
          <w:highlight w:val="none"/>
          <w:lang w:val="en-US" w:eastAsia="zh-CN" w:bidi="ar"/>
        </w:rPr>
        <w:t>财政部门负责做好资金审核拨付、使用</w:t>
      </w:r>
      <w:r>
        <w:rPr>
          <w:rFonts w:hint="eastAsia" w:eastAsia="仿宋_GB2312" w:cs="Times New Roman"/>
          <w:color w:val="auto"/>
          <w:kern w:val="0"/>
          <w:sz w:val="32"/>
          <w:szCs w:val="32"/>
          <w:highlight w:val="none"/>
          <w:lang w:val="en-US" w:eastAsia="zh-CN" w:bidi="ar"/>
        </w:rPr>
        <w:t>监管等</w:t>
      </w:r>
      <w:r>
        <w:rPr>
          <w:rFonts w:hint="eastAsia" w:ascii="Times New Roman" w:hAnsi="Times New Roman" w:eastAsia="仿宋_GB2312" w:cs="Times New Roman"/>
          <w:color w:val="auto"/>
          <w:kern w:val="0"/>
          <w:sz w:val="32"/>
          <w:szCs w:val="32"/>
          <w:highlight w:val="none"/>
          <w:lang w:val="en-US" w:eastAsia="zh-CN" w:bidi="ar"/>
        </w:rPr>
        <w:t>工作</w:t>
      </w:r>
      <w:r>
        <w:rPr>
          <w:rFonts w:hint="eastAsia" w:eastAsia="仿宋_GB2312" w:cs="Times New Roman"/>
          <w:color w:val="auto"/>
          <w:kern w:val="0"/>
          <w:sz w:val="32"/>
          <w:szCs w:val="32"/>
          <w:highlight w:val="none"/>
          <w:lang w:val="en-US" w:eastAsia="zh-CN" w:bidi="ar"/>
        </w:rPr>
        <w:t>；生态环境部门</w:t>
      </w:r>
      <w:r>
        <w:rPr>
          <w:rFonts w:hint="eastAsia" w:ascii="Times New Roman" w:hAnsi="Times New Roman" w:eastAsia="仿宋_GB2312" w:cs="Times New Roman"/>
          <w:kern w:val="0"/>
          <w:sz w:val="32"/>
          <w:szCs w:val="32"/>
          <w:highlight w:val="none"/>
          <w:lang w:val="en-US" w:eastAsia="zh-CN"/>
        </w:rPr>
        <w:t>负责</w:t>
      </w:r>
      <w:r>
        <w:rPr>
          <w:rFonts w:hint="eastAsia" w:eastAsia="仿宋_GB2312" w:cs="Times New Roman"/>
          <w:kern w:val="0"/>
          <w:sz w:val="32"/>
          <w:szCs w:val="32"/>
          <w:highlight w:val="none"/>
          <w:lang w:val="en-US" w:eastAsia="zh-CN"/>
        </w:rPr>
        <w:t>配合</w:t>
      </w:r>
      <w:r>
        <w:rPr>
          <w:rFonts w:hint="eastAsia" w:ascii="Times New Roman" w:hAnsi="Times New Roman" w:eastAsia="仿宋_GB2312" w:cs="Times New Roman"/>
          <w:kern w:val="0"/>
          <w:sz w:val="32"/>
          <w:szCs w:val="32"/>
          <w:highlight w:val="none"/>
          <w:lang w:val="en-US" w:eastAsia="zh-CN"/>
        </w:rPr>
        <w:t>做好高标准农田项目区与生态保护红线重叠、占用的监督、调整</w:t>
      </w:r>
      <w:r>
        <w:rPr>
          <w:rFonts w:hint="eastAsia" w:eastAsia="仿宋_GB2312" w:cs="Times New Roman"/>
          <w:kern w:val="0"/>
          <w:sz w:val="32"/>
          <w:szCs w:val="32"/>
          <w:highlight w:val="none"/>
          <w:lang w:val="en-US" w:eastAsia="zh-CN"/>
        </w:rPr>
        <w:t>等</w:t>
      </w:r>
      <w:r>
        <w:rPr>
          <w:rFonts w:hint="eastAsia" w:ascii="Times New Roman" w:hAnsi="Times New Roman" w:eastAsia="仿宋_GB2312" w:cs="Times New Roman"/>
          <w:kern w:val="0"/>
          <w:sz w:val="32"/>
          <w:szCs w:val="32"/>
          <w:highlight w:val="none"/>
          <w:lang w:val="en-US" w:eastAsia="zh-CN"/>
        </w:rPr>
        <w:t>工作</w:t>
      </w:r>
      <w:r>
        <w:rPr>
          <w:rFonts w:hint="eastAsia" w:eastAsia="仿宋_GB2312" w:cs="Times New Roman"/>
          <w:kern w:val="0"/>
          <w:sz w:val="32"/>
          <w:szCs w:val="32"/>
          <w:highlight w:val="none"/>
          <w:lang w:val="en-US" w:eastAsia="zh-CN"/>
        </w:rPr>
        <w:t>；住房和城乡建设部门负责配合做好建设领域参建主体市场行为监管等工作。持续巩固深化高标准农田建设突出问题整治成果，强化纪检、督查、审计、农民群众和媒体监督，完善工程全周期责任倒查和终身追责机制，坚决纠治建设管理中存在的不正之风和腐败问题。</w:t>
      </w:r>
    </w:p>
    <w:p>
      <w:pPr>
        <w:keepNext w:val="0"/>
        <w:keepLines w:val="0"/>
        <w:pageBreakBefore w:val="0"/>
        <w:widowControl w:val="0"/>
        <w:kinsoku/>
        <w:wordWrap/>
        <w:overflowPunct/>
        <w:topLinePunct w:val="0"/>
        <w:autoSpaceDE/>
        <w:autoSpaceDN/>
        <w:bidi w:val="0"/>
        <w:adjustRightInd/>
        <w:snapToGrid/>
        <w:spacing w:after="0" w:line="560" w:lineRule="exact"/>
        <w:jc w:val="both"/>
        <w:textAlignment w:val="auto"/>
        <w:outlineLvl w:val="9"/>
        <w:rPr>
          <w:rFonts w:hint="eastAsia" w:ascii="仿宋" w:hAnsi="仿宋" w:eastAsia="仿宋" w:cs="仿宋"/>
          <w:lang w:val="en-US" w:eastAsia="zh-CN"/>
        </w:rPr>
      </w:pPr>
      <w:r>
        <w:rPr>
          <w:rFonts w:hint="eastAsia" w:ascii="仿宋" w:hAnsi="仿宋" w:eastAsia="仿宋" w:cs="仿宋"/>
          <w:lang w:val="en-US" w:eastAsia="zh-CN"/>
        </w:rPr>
        <w:t>附件：</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default" w:ascii="仿宋" w:hAnsi="仿宋" w:eastAsia="仿宋" w:cs="仿宋"/>
          <w:lang w:val="en-US" w:eastAsia="zh-CN"/>
        </w:rPr>
      </w:pPr>
      <w:r>
        <w:rPr>
          <w:rFonts w:hint="eastAsia" w:ascii="仿宋" w:hAnsi="仿宋" w:cs="仿宋"/>
          <w:lang w:val="en-US" w:eastAsia="zh-CN"/>
        </w:rPr>
        <w:t>1.淮南市高标准农田建设分区表</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outlineLvl w:val="9"/>
        <w:rPr>
          <w:rFonts w:hint="eastAsia" w:ascii="仿宋" w:hAnsi="仿宋" w:eastAsia="仿宋" w:cs="仿宋"/>
          <w:lang w:val="en-US" w:eastAsia="zh-CN"/>
        </w:rPr>
      </w:pPr>
      <w:r>
        <w:rPr>
          <w:rFonts w:hint="eastAsia" w:ascii="仿宋" w:hAnsi="仿宋" w:cs="仿宋"/>
          <w:lang w:val="en-US" w:eastAsia="zh-CN"/>
        </w:rPr>
        <w:t>2</w:t>
      </w:r>
      <w:r>
        <w:rPr>
          <w:rFonts w:hint="eastAsia" w:ascii="仿宋" w:hAnsi="仿宋" w:eastAsia="仿宋" w:cs="仿宋"/>
          <w:lang w:val="en-US" w:eastAsia="zh-CN"/>
        </w:rPr>
        <w:t>.分阶段分县区建设任务安排表</w:t>
      </w:r>
    </w:p>
    <w:p>
      <w:pPr>
        <w:jc w:val="both"/>
        <w:sectPr>
          <w:footerReference r:id="rId5" w:type="default"/>
          <w:pgSz w:w="11906" w:h="16838"/>
          <w:pgMar w:top="2098" w:right="1474" w:bottom="1984" w:left="1587" w:header="720" w:footer="720" w:gutter="0"/>
          <w:pgNumType w:fmt="decimal" w:start="1"/>
          <w:cols w:space="720" w:num="1"/>
          <w:docGrid w:linePitch="360" w:charSpace="0"/>
        </w:sectPr>
      </w:pPr>
    </w:p>
    <w:p>
      <w:pPr>
        <w:spacing w:before="0" w:after="0" w:line="576" w:lineRule="exact"/>
        <w:jc w:val="both"/>
        <w:outlineLvl w:val="0"/>
        <w:rPr>
          <w:rFonts w:hint="eastAsia" w:ascii="仿宋" w:hAnsi="仿宋" w:eastAsia="仿宋" w:cs="仿宋"/>
          <w:b/>
          <w:bCs/>
          <w:lang w:eastAsia="zh-CN"/>
        </w:rPr>
      </w:pPr>
      <w:r>
        <w:rPr>
          <w:rFonts w:hint="eastAsia" w:ascii="仿宋" w:hAnsi="仿宋" w:eastAsia="仿宋" w:cs="仿宋"/>
          <w:b/>
          <w:bCs/>
          <w:sz w:val="32"/>
        </w:rPr>
        <w:t>附件</w:t>
      </w:r>
      <w:r>
        <w:rPr>
          <w:rFonts w:hint="eastAsia" w:ascii="仿宋" w:hAnsi="仿宋" w:eastAsia="仿宋" w:cs="仿宋"/>
          <w:b/>
          <w:bCs/>
          <w:sz w:val="32"/>
          <w:lang w:val="en-US" w:eastAsia="zh-CN"/>
        </w:rPr>
        <w:t>1</w:t>
      </w:r>
    </w:p>
    <w:p>
      <w:pPr>
        <w:spacing w:before="0" w:after="120" w:line="576" w:lineRule="exact"/>
        <w:jc w:val="center"/>
        <w:rPr>
          <w:rFonts w:hint="eastAsia" w:ascii="仿宋" w:hAnsi="仿宋" w:eastAsia="仿宋" w:cs="仿宋"/>
          <w:b/>
          <w:bCs/>
          <w:sz w:val="28"/>
          <w:szCs w:val="28"/>
        </w:rPr>
      </w:pPr>
      <w:r>
        <w:rPr>
          <w:rFonts w:hint="eastAsia" w:ascii="仿宋" w:hAnsi="仿宋" w:eastAsia="仿宋" w:cs="仿宋"/>
          <w:b/>
          <w:bCs/>
          <w:sz w:val="28"/>
          <w:szCs w:val="28"/>
          <w:lang w:val="en-US" w:eastAsia="zh-CN"/>
        </w:rPr>
        <w:t xml:space="preserve"> </w:t>
      </w:r>
      <w:r>
        <w:rPr>
          <w:rFonts w:hint="eastAsia" w:ascii="仿宋" w:hAnsi="仿宋" w:eastAsia="仿宋" w:cs="仿宋"/>
          <w:b/>
          <w:bCs/>
          <w:sz w:val="28"/>
          <w:szCs w:val="28"/>
        </w:rPr>
        <w:t>淮南市高标准农田建设分区表</w:t>
      </w:r>
    </w:p>
    <w:tbl>
      <w:tblPr>
        <w:tblStyle w:val="34"/>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757"/>
        <w:gridCol w:w="2682"/>
        <w:gridCol w:w="2190"/>
        <w:gridCol w:w="2215"/>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478" w:hRule="atLeast"/>
          <w:tblHeader/>
          <w:jc w:val="center"/>
        </w:trPr>
        <w:tc>
          <w:tcPr>
            <w:tcW w:w="1757" w:type="dxa"/>
            <w:shd w:val="clear" w:color="auto" w:fill="D9D9D9"/>
            <w:vAlign w:val="center"/>
          </w:tcPr>
          <w:p>
            <w:pPr>
              <w:spacing w:before="20" w:after="20" w:line="240" w:lineRule="auto"/>
              <w:ind w:firstLine="0" w:firstLineChars="0"/>
              <w:jc w:val="both"/>
              <w:rPr>
                <w:rFonts w:hint="eastAsia" w:ascii="仿宋" w:hAnsi="仿宋" w:eastAsia="仿宋" w:cs="仿宋"/>
                <w:b/>
                <w:bCs/>
                <w:sz w:val="24"/>
                <w:szCs w:val="24"/>
              </w:rPr>
            </w:pPr>
            <w:r>
              <w:rPr>
                <w:rFonts w:hint="eastAsia" w:ascii="仿宋" w:hAnsi="仿宋" w:eastAsia="仿宋" w:cs="仿宋"/>
                <w:b/>
                <w:bCs/>
                <w:sz w:val="24"/>
                <w:szCs w:val="24"/>
              </w:rPr>
              <w:t>建设分区</w:t>
            </w:r>
          </w:p>
        </w:tc>
        <w:tc>
          <w:tcPr>
            <w:tcW w:w="2682" w:type="dxa"/>
            <w:shd w:val="clear" w:color="auto" w:fill="D9D9D9"/>
            <w:vAlign w:val="center"/>
          </w:tcPr>
          <w:p>
            <w:pPr>
              <w:spacing w:before="20" w:after="20" w:line="240" w:lineRule="auto"/>
              <w:ind w:firstLine="0" w:firstLineChars="0"/>
              <w:jc w:val="both"/>
              <w:rPr>
                <w:rFonts w:hint="eastAsia" w:ascii="仿宋" w:hAnsi="仿宋" w:eastAsia="仿宋" w:cs="仿宋"/>
                <w:b/>
                <w:bCs/>
                <w:sz w:val="24"/>
                <w:szCs w:val="24"/>
              </w:rPr>
            </w:pPr>
            <w:r>
              <w:rPr>
                <w:rFonts w:hint="eastAsia" w:ascii="仿宋" w:hAnsi="仿宋" w:eastAsia="仿宋" w:cs="仿宋"/>
                <w:b/>
                <w:bCs/>
                <w:sz w:val="24"/>
                <w:szCs w:val="24"/>
              </w:rPr>
              <w:t>涵盖县（区）</w:t>
            </w:r>
          </w:p>
        </w:tc>
        <w:tc>
          <w:tcPr>
            <w:tcW w:w="2190" w:type="dxa"/>
            <w:shd w:val="clear" w:color="auto" w:fill="D9D9D9"/>
            <w:vAlign w:val="center"/>
          </w:tcPr>
          <w:p>
            <w:pPr>
              <w:spacing w:before="20" w:after="20" w:line="240" w:lineRule="auto"/>
              <w:ind w:firstLine="0" w:firstLineChars="0"/>
              <w:jc w:val="both"/>
              <w:rPr>
                <w:rFonts w:hint="eastAsia" w:ascii="仿宋" w:hAnsi="仿宋" w:eastAsia="仿宋" w:cs="仿宋"/>
                <w:b/>
                <w:bCs/>
                <w:sz w:val="24"/>
                <w:szCs w:val="24"/>
              </w:rPr>
            </w:pPr>
            <w:r>
              <w:rPr>
                <w:rFonts w:hint="eastAsia" w:ascii="仿宋" w:hAnsi="仿宋" w:eastAsia="仿宋" w:cs="仿宋"/>
                <w:b/>
                <w:bCs/>
                <w:sz w:val="24"/>
                <w:szCs w:val="24"/>
              </w:rPr>
              <w:t>主要特征</w:t>
            </w:r>
          </w:p>
        </w:tc>
        <w:tc>
          <w:tcPr>
            <w:tcW w:w="2215" w:type="dxa"/>
            <w:shd w:val="clear" w:color="auto" w:fill="D9D9D9"/>
            <w:vAlign w:val="center"/>
          </w:tcPr>
          <w:p>
            <w:pPr>
              <w:spacing w:before="20" w:after="20" w:line="240" w:lineRule="auto"/>
              <w:ind w:firstLine="0" w:firstLineChars="0"/>
              <w:jc w:val="both"/>
              <w:rPr>
                <w:rFonts w:hint="eastAsia" w:ascii="仿宋" w:hAnsi="仿宋" w:eastAsia="仿宋" w:cs="仿宋"/>
                <w:b/>
                <w:bCs/>
                <w:sz w:val="24"/>
                <w:szCs w:val="24"/>
              </w:rPr>
            </w:pPr>
            <w:r>
              <w:rPr>
                <w:rFonts w:hint="eastAsia" w:ascii="仿宋" w:hAnsi="仿宋" w:eastAsia="仿宋" w:cs="仿宋"/>
                <w:b/>
                <w:bCs/>
                <w:sz w:val="24"/>
                <w:szCs w:val="24"/>
              </w:rPr>
              <w:t>建设重点</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814" w:hRule="atLeast"/>
          <w:jc w:val="center"/>
        </w:trPr>
        <w:tc>
          <w:tcPr>
            <w:tcW w:w="1757" w:type="dxa"/>
            <w:vAlign w:val="center"/>
          </w:tcPr>
          <w:p>
            <w:pPr>
              <w:spacing w:before="20" w:after="20" w:line="240" w:lineRule="auto"/>
              <w:ind w:firstLine="0" w:firstLineChars="0"/>
              <w:jc w:val="both"/>
              <w:rPr>
                <w:rFonts w:hint="eastAsia" w:ascii="仿宋" w:hAnsi="仿宋" w:eastAsia="仿宋" w:cs="仿宋"/>
                <w:sz w:val="24"/>
                <w:szCs w:val="24"/>
              </w:rPr>
            </w:pPr>
            <w:r>
              <w:rPr>
                <w:rFonts w:hint="eastAsia" w:ascii="仿宋" w:hAnsi="仿宋" w:eastAsia="仿宋" w:cs="仿宋"/>
                <w:b w:val="0"/>
                <w:sz w:val="24"/>
                <w:szCs w:val="24"/>
              </w:rPr>
              <w:t>淮北平原片区</w:t>
            </w:r>
          </w:p>
        </w:tc>
        <w:tc>
          <w:tcPr>
            <w:tcW w:w="2682" w:type="dxa"/>
            <w:vAlign w:val="center"/>
          </w:tcPr>
          <w:p>
            <w:pPr>
              <w:numPr>
                <w:ilvl w:val="0"/>
                <w:numId w:val="9"/>
              </w:numPr>
              <w:spacing w:before="20" w:after="20" w:line="240" w:lineRule="auto"/>
              <w:ind w:firstLine="0" w:firstLineChars="0"/>
              <w:jc w:val="both"/>
              <w:rPr>
                <w:rFonts w:hint="eastAsia" w:ascii="仿宋" w:hAnsi="仿宋" w:eastAsia="仿宋" w:cs="仿宋"/>
                <w:b w:val="0"/>
                <w:sz w:val="24"/>
                <w:szCs w:val="24"/>
                <w:lang w:val="en-US" w:eastAsia="zh-CN"/>
              </w:rPr>
            </w:pPr>
            <w:r>
              <w:rPr>
                <w:rFonts w:hint="eastAsia" w:ascii="仿宋" w:hAnsi="仿宋" w:eastAsia="仿宋" w:cs="仿宋"/>
                <w:b w:val="0"/>
                <w:sz w:val="24"/>
                <w:szCs w:val="24"/>
                <w:lang w:val="en-US" w:eastAsia="zh-CN"/>
              </w:rPr>
              <w:t>潘集区、凤台县、毛集实验区全域；</w:t>
            </w:r>
          </w:p>
          <w:p>
            <w:pPr>
              <w:numPr>
                <w:ilvl w:val="0"/>
                <w:numId w:val="0"/>
              </w:numPr>
              <w:spacing w:before="20" w:after="20" w:line="240" w:lineRule="auto"/>
              <w:jc w:val="both"/>
              <w:rPr>
                <w:rFonts w:hint="eastAsia" w:ascii="仿宋" w:hAnsi="仿宋" w:eastAsia="仿宋" w:cs="仿宋"/>
                <w:sz w:val="24"/>
                <w:szCs w:val="24"/>
                <w:lang w:eastAsia="zh-CN"/>
              </w:rPr>
            </w:pPr>
            <w:r>
              <w:rPr>
                <w:rFonts w:hint="eastAsia" w:ascii="仿宋" w:hAnsi="仿宋" w:eastAsia="仿宋" w:cs="仿宋"/>
                <w:b w:val="0"/>
                <w:sz w:val="24"/>
                <w:szCs w:val="24"/>
                <w:lang w:val="en-US" w:eastAsia="zh-CN"/>
              </w:rPr>
              <w:t xml:space="preserve">2、大通区、田家庵区、谢家集区、八公山区部分地势平坦乡镇 </w:t>
            </w:r>
          </w:p>
        </w:tc>
        <w:tc>
          <w:tcPr>
            <w:tcW w:w="2190" w:type="dxa"/>
            <w:vAlign w:val="center"/>
          </w:tcPr>
          <w:p>
            <w:pPr>
              <w:spacing w:before="20" w:after="20" w:line="240" w:lineRule="auto"/>
              <w:ind w:firstLine="0" w:firstLineChars="0"/>
              <w:jc w:val="both"/>
              <w:rPr>
                <w:rFonts w:hint="eastAsia" w:ascii="仿宋" w:hAnsi="仿宋" w:eastAsia="仿宋" w:cs="仿宋"/>
                <w:sz w:val="24"/>
                <w:szCs w:val="24"/>
              </w:rPr>
            </w:pPr>
            <w:r>
              <w:rPr>
                <w:rFonts w:hint="eastAsia" w:ascii="仿宋" w:hAnsi="仿宋" w:eastAsia="仿宋" w:cs="仿宋"/>
                <w:b w:val="0"/>
                <w:sz w:val="24"/>
                <w:szCs w:val="24"/>
              </w:rPr>
              <w:t>地势平坦、土壤肥沃，水源条件较好，粮食主产区</w:t>
            </w:r>
          </w:p>
        </w:tc>
        <w:tc>
          <w:tcPr>
            <w:tcW w:w="2215" w:type="dxa"/>
            <w:vAlign w:val="center"/>
          </w:tcPr>
          <w:p>
            <w:pPr>
              <w:spacing w:before="20" w:after="20" w:line="240" w:lineRule="auto"/>
              <w:ind w:firstLine="0" w:firstLineChars="0"/>
              <w:jc w:val="both"/>
              <w:rPr>
                <w:rFonts w:hint="eastAsia" w:ascii="仿宋" w:hAnsi="仿宋" w:eastAsia="仿宋" w:cs="仿宋"/>
                <w:sz w:val="24"/>
                <w:szCs w:val="24"/>
              </w:rPr>
            </w:pPr>
            <w:r>
              <w:rPr>
                <w:rFonts w:hint="eastAsia" w:ascii="仿宋" w:hAnsi="仿宋" w:eastAsia="仿宋" w:cs="仿宋"/>
                <w:b w:val="0"/>
                <w:sz w:val="24"/>
                <w:szCs w:val="24"/>
              </w:rPr>
              <w:t>衔接大中型灌区，完善灌排体系，田块</w:t>
            </w:r>
            <w:r>
              <w:rPr>
                <w:rFonts w:hint="eastAsia" w:ascii="仿宋" w:hAnsi="仿宋" w:eastAsia="仿宋" w:cs="仿宋"/>
                <w:b w:val="0"/>
                <w:sz w:val="24"/>
                <w:szCs w:val="24"/>
                <w:lang w:val="en-US" w:eastAsia="zh-CN"/>
              </w:rPr>
              <w:t>归并</w:t>
            </w:r>
            <w:r>
              <w:rPr>
                <w:rFonts w:hint="eastAsia" w:ascii="仿宋" w:hAnsi="仿宋" w:eastAsia="仿宋" w:cs="仿宋"/>
                <w:b w:val="0"/>
                <w:sz w:val="24"/>
                <w:szCs w:val="24"/>
              </w:rPr>
              <w:t>与道路硬化</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1282" w:hRule="atLeast"/>
          <w:jc w:val="center"/>
        </w:trPr>
        <w:tc>
          <w:tcPr>
            <w:tcW w:w="1757" w:type="dxa"/>
            <w:vAlign w:val="center"/>
          </w:tcPr>
          <w:p>
            <w:pPr>
              <w:spacing w:before="20" w:after="20" w:line="240" w:lineRule="auto"/>
              <w:ind w:firstLine="0" w:firstLineChars="0"/>
              <w:jc w:val="both"/>
              <w:rPr>
                <w:rFonts w:hint="eastAsia" w:ascii="仿宋" w:hAnsi="仿宋" w:eastAsia="仿宋" w:cs="仿宋"/>
                <w:sz w:val="24"/>
                <w:szCs w:val="24"/>
              </w:rPr>
            </w:pPr>
            <w:r>
              <w:rPr>
                <w:rFonts w:hint="eastAsia" w:ascii="仿宋" w:hAnsi="仿宋" w:eastAsia="仿宋" w:cs="仿宋"/>
                <w:b w:val="0"/>
                <w:sz w:val="24"/>
                <w:szCs w:val="24"/>
              </w:rPr>
              <w:t>江淮丘陵片区</w:t>
            </w:r>
          </w:p>
        </w:tc>
        <w:tc>
          <w:tcPr>
            <w:tcW w:w="2682" w:type="dxa"/>
            <w:vAlign w:val="center"/>
          </w:tcPr>
          <w:p>
            <w:pPr>
              <w:numPr>
                <w:ilvl w:val="0"/>
                <w:numId w:val="10"/>
              </w:numPr>
              <w:spacing w:before="20" w:after="20" w:line="240" w:lineRule="auto"/>
              <w:ind w:firstLine="0" w:firstLineChars="0"/>
              <w:jc w:val="both"/>
              <w:rPr>
                <w:rFonts w:hint="eastAsia" w:ascii="仿宋" w:hAnsi="仿宋" w:eastAsia="仿宋" w:cs="仿宋"/>
                <w:b w:val="0"/>
                <w:sz w:val="24"/>
                <w:szCs w:val="24"/>
                <w:lang w:eastAsia="zh-CN"/>
              </w:rPr>
            </w:pPr>
            <w:r>
              <w:rPr>
                <w:rFonts w:hint="eastAsia" w:ascii="仿宋" w:hAnsi="仿宋" w:eastAsia="仿宋" w:cs="仿宋"/>
                <w:b w:val="0"/>
                <w:sz w:val="24"/>
                <w:szCs w:val="24"/>
              </w:rPr>
              <w:t>寿县</w:t>
            </w:r>
            <w:r>
              <w:rPr>
                <w:rFonts w:hint="eastAsia" w:ascii="仿宋" w:hAnsi="仿宋" w:eastAsia="仿宋" w:cs="仿宋"/>
                <w:b w:val="0"/>
                <w:sz w:val="24"/>
                <w:szCs w:val="24"/>
                <w:lang w:val="en-US" w:eastAsia="zh-CN"/>
              </w:rPr>
              <w:t>全域</w:t>
            </w:r>
            <w:r>
              <w:rPr>
                <w:rFonts w:hint="eastAsia" w:ascii="仿宋" w:hAnsi="仿宋" w:eastAsia="仿宋" w:cs="仿宋"/>
                <w:b w:val="0"/>
                <w:sz w:val="24"/>
                <w:szCs w:val="24"/>
                <w:lang w:eastAsia="zh-CN"/>
              </w:rPr>
              <w:t>；</w:t>
            </w:r>
          </w:p>
          <w:p>
            <w:pPr>
              <w:numPr>
                <w:ilvl w:val="0"/>
                <w:numId w:val="10"/>
              </w:numPr>
              <w:spacing w:before="20" w:after="20" w:line="240" w:lineRule="auto"/>
              <w:ind w:firstLine="0" w:firstLineChars="0"/>
              <w:jc w:val="both"/>
              <w:rPr>
                <w:rFonts w:hint="eastAsia" w:ascii="仿宋" w:hAnsi="仿宋" w:eastAsia="仿宋" w:cs="仿宋"/>
                <w:sz w:val="24"/>
                <w:szCs w:val="24"/>
                <w:lang w:val="en-US" w:eastAsia="zh-CN"/>
              </w:rPr>
            </w:pPr>
            <w:r>
              <w:rPr>
                <w:rFonts w:hint="eastAsia" w:ascii="仿宋" w:hAnsi="仿宋" w:eastAsia="仿宋" w:cs="仿宋"/>
                <w:b w:val="0"/>
                <w:sz w:val="24"/>
                <w:szCs w:val="24"/>
              </w:rPr>
              <w:t>大通区</w:t>
            </w:r>
            <w:r>
              <w:rPr>
                <w:rFonts w:hint="eastAsia" w:ascii="仿宋" w:hAnsi="仿宋" w:eastAsia="仿宋" w:cs="仿宋"/>
                <w:b w:val="0"/>
                <w:sz w:val="24"/>
                <w:szCs w:val="24"/>
                <w:lang w:eastAsia="zh-CN"/>
              </w:rPr>
              <w:t>、</w:t>
            </w:r>
            <w:r>
              <w:rPr>
                <w:rFonts w:hint="eastAsia" w:ascii="仿宋" w:hAnsi="仿宋" w:eastAsia="仿宋" w:cs="仿宋"/>
                <w:b w:val="0"/>
                <w:sz w:val="24"/>
                <w:szCs w:val="24"/>
              </w:rPr>
              <w:t>田家庵区</w:t>
            </w:r>
            <w:r>
              <w:rPr>
                <w:rFonts w:hint="eastAsia" w:ascii="仿宋" w:hAnsi="仿宋" w:eastAsia="仿宋" w:cs="仿宋"/>
                <w:b w:val="0"/>
                <w:sz w:val="24"/>
                <w:szCs w:val="24"/>
                <w:lang w:eastAsia="zh-CN"/>
              </w:rPr>
              <w:t>、</w:t>
            </w:r>
            <w:r>
              <w:rPr>
                <w:rFonts w:hint="eastAsia" w:ascii="仿宋" w:hAnsi="仿宋" w:eastAsia="仿宋" w:cs="仿宋"/>
                <w:b w:val="0"/>
                <w:sz w:val="24"/>
                <w:szCs w:val="24"/>
              </w:rPr>
              <w:t>谢家集区、八公山区</w:t>
            </w:r>
            <w:r>
              <w:rPr>
                <w:rFonts w:hint="eastAsia" w:ascii="仿宋" w:hAnsi="仿宋" w:eastAsia="仿宋" w:cs="仿宋"/>
                <w:b w:val="0"/>
                <w:sz w:val="24"/>
                <w:szCs w:val="24"/>
                <w:lang w:val="en-US" w:eastAsia="zh-CN"/>
              </w:rPr>
              <w:t>部分丘陵乡镇</w:t>
            </w:r>
          </w:p>
        </w:tc>
        <w:tc>
          <w:tcPr>
            <w:tcW w:w="2190" w:type="dxa"/>
            <w:vAlign w:val="center"/>
          </w:tcPr>
          <w:p>
            <w:pPr>
              <w:spacing w:before="20" w:after="20" w:line="240" w:lineRule="auto"/>
              <w:ind w:firstLine="0" w:firstLineChars="0"/>
              <w:jc w:val="both"/>
              <w:rPr>
                <w:rFonts w:hint="eastAsia" w:ascii="仿宋" w:hAnsi="仿宋" w:eastAsia="仿宋" w:cs="仿宋"/>
                <w:sz w:val="24"/>
                <w:szCs w:val="24"/>
              </w:rPr>
            </w:pPr>
            <w:r>
              <w:rPr>
                <w:rFonts w:hint="eastAsia" w:ascii="仿宋" w:hAnsi="仿宋" w:eastAsia="仿宋" w:cs="仿宋"/>
                <w:b w:val="0"/>
                <w:sz w:val="24"/>
                <w:szCs w:val="24"/>
              </w:rPr>
              <w:t>岗冲相间、田块零散，灌溉水源相对不足</w:t>
            </w:r>
          </w:p>
        </w:tc>
        <w:tc>
          <w:tcPr>
            <w:tcW w:w="2215" w:type="dxa"/>
            <w:vAlign w:val="center"/>
          </w:tcPr>
          <w:p>
            <w:pPr>
              <w:spacing w:before="20" w:after="20" w:line="240" w:lineRule="auto"/>
              <w:ind w:firstLine="0" w:firstLineChars="0"/>
              <w:jc w:val="both"/>
              <w:rPr>
                <w:rFonts w:hint="eastAsia" w:ascii="仿宋" w:hAnsi="仿宋" w:eastAsia="仿宋" w:cs="仿宋"/>
                <w:sz w:val="24"/>
                <w:szCs w:val="24"/>
              </w:rPr>
            </w:pPr>
            <w:r>
              <w:rPr>
                <w:rFonts w:hint="eastAsia" w:ascii="仿宋" w:hAnsi="仿宋" w:eastAsia="仿宋" w:cs="仿宋"/>
                <w:b w:val="0"/>
                <w:sz w:val="24"/>
                <w:szCs w:val="24"/>
              </w:rPr>
              <w:t>田块</w:t>
            </w:r>
            <w:r>
              <w:rPr>
                <w:rFonts w:hint="eastAsia" w:ascii="仿宋" w:hAnsi="仿宋" w:eastAsia="仿宋" w:cs="仿宋"/>
                <w:b w:val="0"/>
                <w:sz w:val="24"/>
                <w:szCs w:val="24"/>
                <w:lang w:val="en-US" w:eastAsia="zh-CN"/>
              </w:rPr>
              <w:t>整治</w:t>
            </w:r>
            <w:r>
              <w:rPr>
                <w:rFonts w:hint="eastAsia" w:ascii="仿宋" w:hAnsi="仿宋" w:eastAsia="仿宋" w:cs="仿宋"/>
                <w:b w:val="0"/>
                <w:sz w:val="24"/>
                <w:szCs w:val="24"/>
              </w:rPr>
              <w:t>、修筑水平梯田，建设当家塘与提水泵站，改良土壤、提升地力</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2208" w:hRule="atLeast"/>
          <w:jc w:val="center"/>
        </w:trPr>
        <w:tc>
          <w:tcPr>
            <w:tcW w:w="1757" w:type="dxa"/>
            <w:vAlign w:val="center"/>
          </w:tcPr>
          <w:p>
            <w:pPr>
              <w:spacing w:before="20" w:after="20" w:line="240" w:lineRule="auto"/>
              <w:ind w:firstLine="0" w:firstLineChars="0"/>
              <w:jc w:val="both"/>
              <w:rPr>
                <w:rFonts w:hint="eastAsia" w:ascii="仿宋" w:hAnsi="仿宋" w:eastAsia="仿宋" w:cs="仿宋"/>
                <w:b w:val="0"/>
                <w:sz w:val="24"/>
                <w:szCs w:val="24"/>
              </w:rPr>
            </w:pPr>
            <w:r>
              <w:rPr>
                <w:rFonts w:hint="eastAsia" w:ascii="仿宋" w:hAnsi="仿宋" w:eastAsia="仿宋" w:cs="仿宋"/>
                <w:b w:val="0"/>
                <w:sz w:val="24"/>
                <w:szCs w:val="24"/>
              </w:rPr>
              <w:t>采煤沉陷区</w:t>
            </w:r>
          </w:p>
          <w:p>
            <w:pPr>
              <w:spacing w:before="20" w:after="20" w:line="240" w:lineRule="auto"/>
              <w:ind w:firstLine="0" w:firstLineChars="0"/>
              <w:jc w:val="both"/>
              <w:rPr>
                <w:rFonts w:hint="eastAsia" w:ascii="仿宋" w:hAnsi="仿宋" w:eastAsia="仿宋" w:cs="仿宋"/>
                <w:sz w:val="24"/>
                <w:szCs w:val="24"/>
              </w:rPr>
            </w:pPr>
            <w:r>
              <w:rPr>
                <w:rFonts w:hint="eastAsia" w:ascii="仿宋" w:hAnsi="仿宋" w:eastAsia="仿宋" w:cs="仿宋"/>
                <w:b w:val="0"/>
                <w:sz w:val="24"/>
                <w:szCs w:val="24"/>
              </w:rPr>
              <w:t>治理片区</w:t>
            </w:r>
          </w:p>
        </w:tc>
        <w:tc>
          <w:tcPr>
            <w:tcW w:w="2682" w:type="dxa"/>
            <w:vAlign w:val="center"/>
          </w:tcPr>
          <w:p>
            <w:pPr>
              <w:spacing w:before="20" w:after="20" w:line="240" w:lineRule="auto"/>
              <w:ind w:firstLine="0" w:firstLineChars="0"/>
              <w:jc w:val="both"/>
              <w:rPr>
                <w:rFonts w:hint="eastAsia" w:ascii="仿宋" w:hAnsi="仿宋" w:eastAsia="仿宋" w:cs="仿宋"/>
                <w:sz w:val="24"/>
                <w:szCs w:val="24"/>
                <w:lang w:val="en-US" w:eastAsia="zh-CN"/>
              </w:rPr>
            </w:pPr>
            <w:r>
              <w:rPr>
                <w:rFonts w:hint="eastAsia" w:ascii="仿宋" w:hAnsi="仿宋" w:eastAsia="仿宋" w:cs="仿宋"/>
                <w:b w:val="0"/>
                <w:sz w:val="24"/>
                <w:szCs w:val="24"/>
                <w:lang w:val="en-US" w:eastAsia="zh-CN"/>
              </w:rPr>
              <w:t>1、</w:t>
            </w:r>
            <w:r>
              <w:rPr>
                <w:rFonts w:hint="eastAsia" w:ascii="仿宋" w:hAnsi="仿宋" w:eastAsia="仿宋" w:cs="仿宋"/>
                <w:b w:val="0"/>
                <w:sz w:val="24"/>
                <w:szCs w:val="24"/>
              </w:rPr>
              <w:t>凤台县、潘集区、大通区</w:t>
            </w:r>
            <w:r>
              <w:rPr>
                <w:rFonts w:hint="eastAsia" w:ascii="仿宋" w:hAnsi="仿宋" w:cs="仿宋"/>
                <w:b w:val="0"/>
                <w:sz w:val="24"/>
                <w:szCs w:val="24"/>
                <w:lang w:eastAsia="zh-CN"/>
              </w:rPr>
              <w:t>、谢家集区、</w:t>
            </w:r>
            <w:r>
              <w:rPr>
                <w:rFonts w:hint="eastAsia" w:ascii="仿宋" w:hAnsi="仿宋" w:eastAsia="仿宋" w:cs="仿宋"/>
                <w:b w:val="0"/>
                <w:sz w:val="24"/>
                <w:szCs w:val="24"/>
              </w:rPr>
              <w:t>八公山区、</w:t>
            </w:r>
            <w:r>
              <w:rPr>
                <w:rFonts w:hint="eastAsia" w:ascii="仿宋" w:hAnsi="仿宋" w:cs="仿宋"/>
                <w:b w:val="0"/>
                <w:sz w:val="24"/>
                <w:szCs w:val="24"/>
                <w:lang w:eastAsia="zh-CN"/>
              </w:rPr>
              <w:t>毛集实验区</w:t>
            </w:r>
            <w:r>
              <w:rPr>
                <w:rFonts w:hint="eastAsia" w:ascii="仿宋" w:hAnsi="仿宋" w:eastAsia="仿宋" w:cs="仿宋"/>
                <w:b w:val="0"/>
                <w:sz w:val="24"/>
                <w:szCs w:val="24"/>
                <w:lang w:val="en-US" w:eastAsia="zh-CN"/>
              </w:rPr>
              <w:t>涉及</w:t>
            </w:r>
            <w:r>
              <w:rPr>
                <w:rFonts w:hint="eastAsia" w:ascii="仿宋" w:hAnsi="仿宋" w:cs="仿宋"/>
                <w:b w:val="0"/>
                <w:sz w:val="24"/>
                <w:szCs w:val="24"/>
                <w:lang w:val="en-US" w:eastAsia="zh-CN"/>
              </w:rPr>
              <w:t>采煤塌陷</w:t>
            </w:r>
            <w:r>
              <w:rPr>
                <w:rFonts w:hint="eastAsia" w:ascii="仿宋" w:hAnsi="仿宋" w:eastAsia="仿宋" w:cs="仿宋"/>
                <w:b w:val="0"/>
                <w:sz w:val="24"/>
                <w:szCs w:val="24"/>
                <w:lang w:val="en-US" w:eastAsia="zh-CN"/>
              </w:rPr>
              <w:t>乡镇</w:t>
            </w:r>
          </w:p>
        </w:tc>
        <w:tc>
          <w:tcPr>
            <w:tcW w:w="2190" w:type="dxa"/>
            <w:vAlign w:val="center"/>
          </w:tcPr>
          <w:p>
            <w:pPr>
              <w:spacing w:before="20" w:after="20" w:line="240" w:lineRule="auto"/>
              <w:ind w:firstLine="0" w:firstLineChars="0"/>
              <w:jc w:val="both"/>
              <w:rPr>
                <w:rFonts w:hint="eastAsia" w:ascii="仿宋" w:hAnsi="仿宋" w:eastAsia="仿宋" w:cs="仿宋"/>
                <w:sz w:val="24"/>
                <w:szCs w:val="24"/>
              </w:rPr>
            </w:pPr>
            <w:r>
              <w:rPr>
                <w:rFonts w:hint="eastAsia" w:ascii="仿宋" w:hAnsi="仿宋" w:eastAsia="仿宋" w:cs="仿宋"/>
                <w:b w:val="0"/>
                <w:sz w:val="24"/>
                <w:szCs w:val="24"/>
              </w:rPr>
              <w:t>采煤沉陷面广量大，稳沉与未稳沉</w:t>
            </w:r>
            <w:r>
              <w:rPr>
                <w:rFonts w:hint="eastAsia" w:ascii="仿宋" w:hAnsi="仿宋" w:eastAsia="仿宋" w:cs="仿宋"/>
                <w:b w:val="0"/>
                <w:sz w:val="24"/>
                <w:szCs w:val="24"/>
                <w:lang w:val="en-US" w:eastAsia="zh-CN"/>
              </w:rPr>
              <w:t>耕地</w:t>
            </w:r>
            <w:r>
              <w:rPr>
                <w:rFonts w:hint="eastAsia" w:ascii="仿宋" w:hAnsi="仿宋" w:eastAsia="仿宋" w:cs="仿宋"/>
                <w:b w:val="0"/>
                <w:sz w:val="24"/>
                <w:szCs w:val="24"/>
              </w:rPr>
              <w:t>并存</w:t>
            </w:r>
          </w:p>
        </w:tc>
        <w:tc>
          <w:tcPr>
            <w:tcW w:w="2215" w:type="dxa"/>
            <w:vAlign w:val="center"/>
          </w:tcPr>
          <w:p>
            <w:pPr>
              <w:spacing w:before="20" w:after="20" w:line="240" w:lineRule="auto"/>
              <w:ind w:firstLine="0" w:firstLineChars="0"/>
              <w:jc w:val="both"/>
              <w:rPr>
                <w:rFonts w:hint="eastAsia" w:ascii="仿宋" w:hAnsi="仿宋" w:eastAsia="仿宋" w:cs="仿宋"/>
                <w:sz w:val="24"/>
                <w:szCs w:val="24"/>
                <w:lang w:eastAsia="zh-CN"/>
              </w:rPr>
            </w:pPr>
            <w:r>
              <w:rPr>
                <w:rFonts w:hint="eastAsia" w:ascii="仿宋" w:hAnsi="仿宋" w:eastAsia="仿宋" w:cs="仿宋"/>
                <w:b w:val="0"/>
                <w:sz w:val="24"/>
                <w:szCs w:val="24"/>
                <w:lang w:val="en-US" w:eastAsia="zh-CN"/>
              </w:rPr>
              <w:t>在采煤企业综合治理基础上，属地</w:t>
            </w:r>
            <w:r>
              <w:rPr>
                <w:rFonts w:hint="eastAsia" w:ascii="仿宋" w:hAnsi="仿宋" w:cs="仿宋"/>
                <w:b w:val="0"/>
                <w:sz w:val="24"/>
                <w:szCs w:val="24"/>
                <w:lang w:val="en-US" w:eastAsia="zh-CN"/>
              </w:rPr>
              <w:t>政府</w:t>
            </w:r>
            <w:r>
              <w:rPr>
                <w:rFonts w:hint="eastAsia" w:ascii="仿宋" w:hAnsi="仿宋" w:eastAsia="仿宋" w:cs="仿宋"/>
                <w:b w:val="0"/>
                <w:sz w:val="24"/>
                <w:szCs w:val="24"/>
                <w:lang w:val="en-US" w:eastAsia="zh-CN"/>
              </w:rPr>
              <w:t>统筹推进高标准农田建设。重点</w:t>
            </w:r>
            <w:r>
              <w:rPr>
                <w:rFonts w:hint="eastAsia" w:ascii="仿宋" w:hAnsi="仿宋" w:cs="仿宋"/>
                <w:b w:val="0"/>
                <w:sz w:val="24"/>
                <w:szCs w:val="24"/>
                <w:lang w:val="en-US" w:eastAsia="zh-CN"/>
              </w:rPr>
              <w:t>实施</w:t>
            </w:r>
            <w:r>
              <w:rPr>
                <w:rFonts w:hint="eastAsia" w:ascii="仿宋" w:hAnsi="仿宋" w:eastAsia="仿宋" w:cs="仿宋"/>
                <w:b w:val="0"/>
                <w:sz w:val="24"/>
                <w:szCs w:val="24"/>
                <w:lang w:val="en-US" w:eastAsia="zh-CN"/>
              </w:rPr>
              <w:t>田块整治、灌排设施配套、</w:t>
            </w:r>
            <w:r>
              <w:rPr>
                <w:rFonts w:hint="eastAsia" w:ascii="仿宋" w:hAnsi="仿宋" w:eastAsia="仿宋" w:cs="仿宋"/>
                <w:b w:val="0"/>
                <w:sz w:val="24"/>
                <w:szCs w:val="24"/>
                <w:lang w:val="en-US" w:eastAsia="en-US"/>
              </w:rPr>
              <w:t>田间道路</w:t>
            </w:r>
            <w:r>
              <w:rPr>
                <w:rFonts w:hint="eastAsia" w:ascii="仿宋" w:hAnsi="仿宋" w:eastAsia="仿宋" w:cs="仿宋"/>
                <w:b w:val="0"/>
                <w:sz w:val="24"/>
                <w:szCs w:val="24"/>
                <w:lang w:val="en-US" w:eastAsia="zh-CN"/>
              </w:rPr>
              <w:t>修筑、岸坡防护等工程，恢复耕地耕种功能</w:t>
            </w:r>
          </w:p>
        </w:tc>
      </w:tr>
    </w:tbl>
    <w:p>
      <w:pPr>
        <w:sectPr>
          <w:footerReference r:id="rId6" w:type="default"/>
          <w:pgSz w:w="11906" w:h="16838"/>
          <w:pgMar w:top="2098" w:right="1474" w:bottom="1984" w:left="1587" w:header="720" w:footer="720" w:gutter="0"/>
          <w:pgNumType w:fmt="decimal" w:start="13"/>
          <w:cols w:space="720" w:num="1"/>
          <w:docGrid w:linePitch="360" w:charSpace="0"/>
        </w:sectPr>
      </w:pPr>
    </w:p>
    <w:p>
      <w:pPr>
        <w:spacing w:before="0" w:after="0" w:line="576" w:lineRule="exact"/>
        <w:jc w:val="both"/>
        <w:outlineLvl w:val="0"/>
        <w:rPr>
          <w:rFonts w:hint="eastAsia" w:ascii="仿宋" w:hAnsi="仿宋" w:eastAsia="仿宋" w:cs="仿宋"/>
          <w:b/>
          <w:bCs/>
          <w:lang w:eastAsia="zh-CN"/>
        </w:rPr>
      </w:pPr>
      <w:bookmarkStart w:id="17" w:name="_Toc26259"/>
      <w:r>
        <w:rPr>
          <w:rFonts w:hint="eastAsia" w:ascii="仿宋" w:hAnsi="仿宋" w:eastAsia="仿宋" w:cs="仿宋"/>
          <w:b/>
          <w:bCs/>
          <w:sz w:val="32"/>
        </w:rPr>
        <w:t>附件</w:t>
      </w:r>
      <w:bookmarkEnd w:id="17"/>
      <w:r>
        <w:rPr>
          <w:rFonts w:hint="eastAsia" w:ascii="仿宋" w:hAnsi="仿宋" w:cs="仿宋"/>
          <w:b/>
          <w:bCs/>
          <w:sz w:val="32"/>
          <w:lang w:val="en-US" w:eastAsia="zh-CN"/>
        </w:rPr>
        <w:t>2</w:t>
      </w:r>
    </w:p>
    <w:p>
      <w:pPr>
        <w:spacing w:before="0" w:after="120" w:line="576" w:lineRule="exact"/>
        <w:jc w:val="center"/>
        <w:rPr>
          <w:rFonts w:hint="eastAsia" w:ascii="仿宋" w:hAnsi="仿宋" w:eastAsia="仿宋" w:cs="仿宋"/>
          <w:b/>
          <w:bCs/>
        </w:rPr>
      </w:pPr>
      <w:r>
        <w:rPr>
          <w:rFonts w:hint="eastAsia" w:ascii="仿宋" w:hAnsi="仿宋" w:eastAsia="仿宋" w:cs="仿宋"/>
          <w:b/>
          <w:bCs/>
          <w:sz w:val="32"/>
        </w:rPr>
        <w:t>分阶段分县区建设任务安排表</w:t>
      </w:r>
    </w:p>
    <w:p>
      <w:pPr>
        <w:spacing w:before="0" w:after="80" w:line="400" w:lineRule="exact"/>
        <w:jc w:val="center"/>
        <w:rPr>
          <w:rFonts w:hint="eastAsia" w:ascii="仿宋" w:hAnsi="仿宋" w:eastAsia="仿宋" w:cs="仿宋"/>
        </w:rPr>
      </w:pPr>
      <w:r>
        <w:rPr>
          <w:rFonts w:hint="eastAsia" w:ascii="仿宋" w:hAnsi="仿宋" w:cs="仿宋"/>
          <w:b w:val="0"/>
          <w:sz w:val="24"/>
          <w:lang w:val="en-US" w:eastAsia="zh-CN"/>
        </w:rPr>
        <w:t xml:space="preserve">                                                            </w:t>
      </w:r>
      <w:r>
        <w:rPr>
          <w:rFonts w:hint="eastAsia" w:ascii="仿宋" w:hAnsi="仿宋" w:eastAsia="仿宋" w:cs="仿宋"/>
          <w:b w:val="0"/>
          <w:sz w:val="24"/>
        </w:rPr>
        <w:t>单位：万亩</w:t>
      </w:r>
    </w:p>
    <w:tbl>
      <w:tblPr>
        <w:tblStyle w:val="34"/>
        <w:tblW w:w="0" w:type="auto"/>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769"/>
        <w:gridCol w:w="1769"/>
        <w:gridCol w:w="1769"/>
        <w:gridCol w:w="1769"/>
        <w:gridCol w:w="1769"/>
      </w:tblGrid>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PrEx>
        <w:trPr>
          <w:jc w:val="center"/>
        </w:trPr>
        <w:tc>
          <w:tcPr>
            <w:tcW w:w="1814" w:type="dxa"/>
            <w:shd w:val="clear" w:color="auto" w:fill="D9D9D9"/>
            <w:vAlign w:val="center"/>
          </w:tcPr>
          <w:p>
            <w:pPr>
              <w:spacing w:before="20" w:after="20" w:line="240" w:lineRule="auto"/>
              <w:ind w:firstLine="0" w:firstLineChars="0"/>
              <w:jc w:val="center"/>
              <w:rPr>
                <w:rFonts w:hint="eastAsia" w:ascii="仿宋" w:hAnsi="仿宋" w:eastAsia="仿宋" w:cs="仿宋"/>
                <w:sz w:val="24"/>
                <w:szCs w:val="24"/>
              </w:rPr>
            </w:pPr>
            <w:r>
              <w:rPr>
                <w:rFonts w:hint="eastAsia" w:ascii="仿宋" w:hAnsi="仿宋" w:eastAsia="仿宋" w:cs="仿宋"/>
                <w:b w:val="0"/>
                <w:sz w:val="24"/>
                <w:szCs w:val="24"/>
              </w:rPr>
              <w:t>县（区）</w:t>
            </w:r>
          </w:p>
        </w:tc>
        <w:tc>
          <w:tcPr>
            <w:tcW w:w="1757" w:type="dxa"/>
            <w:shd w:val="clear" w:color="auto" w:fill="D9D9D9"/>
            <w:vAlign w:val="center"/>
          </w:tcPr>
          <w:p>
            <w:pPr>
              <w:spacing w:before="20" w:after="20" w:line="240" w:lineRule="auto"/>
              <w:ind w:firstLine="0" w:firstLineChars="0"/>
              <w:jc w:val="center"/>
              <w:rPr>
                <w:rFonts w:hint="eastAsia" w:ascii="仿宋" w:hAnsi="仿宋" w:eastAsia="仿宋" w:cs="仿宋"/>
                <w:b w:val="0"/>
                <w:sz w:val="24"/>
                <w:szCs w:val="24"/>
              </w:rPr>
            </w:pPr>
            <w:r>
              <w:rPr>
                <w:rFonts w:hint="eastAsia" w:ascii="仿宋" w:hAnsi="仿宋" w:eastAsia="仿宋" w:cs="仿宋"/>
                <w:b w:val="0"/>
                <w:sz w:val="24"/>
                <w:szCs w:val="24"/>
              </w:rPr>
              <w:t>2026—2030年</w:t>
            </w:r>
          </w:p>
          <w:p>
            <w:pPr>
              <w:spacing w:before="20" w:after="20" w:line="240" w:lineRule="auto"/>
              <w:ind w:firstLine="0" w:firstLineChars="0"/>
              <w:jc w:val="center"/>
              <w:rPr>
                <w:rFonts w:hint="eastAsia" w:ascii="仿宋" w:hAnsi="仿宋" w:eastAsia="仿宋" w:cs="仿宋"/>
                <w:sz w:val="24"/>
                <w:szCs w:val="24"/>
              </w:rPr>
            </w:pPr>
            <w:r>
              <w:rPr>
                <w:rFonts w:hint="eastAsia" w:ascii="仿宋" w:hAnsi="仿宋" w:eastAsia="仿宋" w:cs="仿宋"/>
                <w:b w:val="0"/>
                <w:sz w:val="24"/>
                <w:szCs w:val="24"/>
              </w:rPr>
              <w:t>新建</w:t>
            </w:r>
          </w:p>
        </w:tc>
        <w:tc>
          <w:tcPr>
            <w:tcW w:w="1757" w:type="dxa"/>
            <w:shd w:val="clear" w:color="auto" w:fill="D9D9D9"/>
            <w:vAlign w:val="center"/>
          </w:tcPr>
          <w:p>
            <w:pPr>
              <w:spacing w:before="20" w:after="20" w:line="240" w:lineRule="auto"/>
              <w:ind w:firstLine="0" w:firstLineChars="0"/>
              <w:jc w:val="center"/>
              <w:rPr>
                <w:rFonts w:hint="eastAsia" w:ascii="仿宋" w:hAnsi="仿宋" w:eastAsia="仿宋" w:cs="仿宋"/>
                <w:b w:val="0"/>
                <w:sz w:val="24"/>
                <w:szCs w:val="24"/>
              </w:rPr>
            </w:pPr>
            <w:r>
              <w:rPr>
                <w:rFonts w:hint="eastAsia" w:ascii="仿宋" w:hAnsi="仿宋" w:eastAsia="仿宋" w:cs="仿宋"/>
                <w:b w:val="0"/>
                <w:sz w:val="24"/>
                <w:szCs w:val="24"/>
              </w:rPr>
              <w:t>2026—2030年</w:t>
            </w:r>
          </w:p>
          <w:p>
            <w:pPr>
              <w:spacing w:before="20" w:after="20" w:line="240" w:lineRule="auto"/>
              <w:ind w:firstLine="0" w:firstLineChars="0"/>
              <w:jc w:val="center"/>
              <w:rPr>
                <w:rFonts w:hint="eastAsia" w:ascii="仿宋" w:hAnsi="仿宋" w:eastAsia="仿宋" w:cs="仿宋"/>
                <w:sz w:val="24"/>
                <w:szCs w:val="24"/>
              </w:rPr>
            </w:pPr>
            <w:r>
              <w:rPr>
                <w:rFonts w:hint="eastAsia" w:ascii="仿宋" w:hAnsi="仿宋" w:eastAsia="仿宋" w:cs="仿宋"/>
                <w:b w:val="0"/>
                <w:sz w:val="24"/>
                <w:szCs w:val="24"/>
              </w:rPr>
              <w:t>改造提升</w:t>
            </w:r>
          </w:p>
        </w:tc>
        <w:tc>
          <w:tcPr>
            <w:tcW w:w="1757" w:type="dxa"/>
            <w:shd w:val="clear" w:color="auto" w:fill="D9D9D9"/>
            <w:vAlign w:val="center"/>
          </w:tcPr>
          <w:p>
            <w:pPr>
              <w:spacing w:before="20" w:after="20" w:line="240" w:lineRule="auto"/>
              <w:ind w:firstLine="0" w:firstLineChars="0"/>
              <w:jc w:val="center"/>
              <w:rPr>
                <w:rFonts w:hint="eastAsia" w:ascii="仿宋" w:hAnsi="仿宋" w:eastAsia="仿宋" w:cs="仿宋"/>
                <w:b w:val="0"/>
                <w:sz w:val="24"/>
                <w:szCs w:val="24"/>
              </w:rPr>
            </w:pPr>
            <w:r>
              <w:rPr>
                <w:rFonts w:hint="eastAsia" w:ascii="仿宋" w:hAnsi="仿宋" w:eastAsia="仿宋" w:cs="仿宋"/>
                <w:b w:val="0"/>
                <w:sz w:val="24"/>
                <w:szCs w:val="24"/>
              </w:rPr>
              <w:t>2031—2035年</w:t>
            </w:r>
          </w:p>
          <w:p>
            <w:pPr>
              <w:spacing w:before="20" w:after="20" w:line="240" w:lineRule="auto"/>
              <w:ind w:firstLine="0" w:firstLineChars="0"/>
              <w:jc w:val="center"/>
              <w:rPr>
                <w:rFonts w:hint="eastAsia" w:ascii="仿宋" w:hAnsi="仿宋" w:eastAsia="仿宋" w:cs="仿宋"/>
                <w:sz w:val="24"/>
                <w:szCs w:val="24"/>
              </w:rPr>
            </w:pPr>
            <w:r>
              <w:rPr>
                <w:rFonts w:hint="eastAsia" w:ascii="仿宋" w:hAnsi="仿宋" w:eastAsia="仿宋" w:cs="仿宋"/>
                <w:b w:val="0"/>
                <w:sz w:val="24"/>
                <w:szCs w:val="24"/>
              </w:rPr>
              <w:t>新建</w:t>
            </w:r>
          </w:p>
        </w:tc>
        <w:tc>
          <w:tcPr>
            <w:tcW w:w="1757" w:type="dxa"/>
            <w:shd w:val="clear" w:color="auto" w:fill="D9D9D9"/>
            <w:vAlign w:val="center"/>
          </w:tcPr>
          <w:p>
            <w:pPr>
              <w:spacing w:before="20" w:after="20" w:line="240" w:lineRule="auto"/>
              <w:ind w:firstLine="0" w:firstLineChars="0"/>
              <w:jc w:val="center"/>
              <w:rPr>
                <w:rFonts w:hint="eastAsia" w:ascii="仿宋" w:hAnsi="仿宋" w:eastAsia="仿宋" w:cs="仿宋"/>
                <w:b w:val="0"/>
                <w:sz w:val="24"/>
                <w:szCs w:val="24"/>
              </w:rPr>
            </w:pPr>
            <w:r>
              <w:rPr>
                <w:rFonts w:hint="eastAsia" w:ascii="仿宋" w:hAnsi="仿宋" w:eastAsia="仿宋" w:cs="仿宋"/>
                <w:b w:val="0"/>
                <w:sz w:val="24"/>
                <w:szCs w:val="24"/>
              </w:rPr>
              <w:t>2031—2035年</w:t>
            </w:r>
          </w:p>
          <w:p>
            <w:pPr>
              <w:spacing w:before="20" w:after="20" w:line="240" w:lineRule="auto"/>
              <w:ind w:firstLine="0" w:firstLineChars="0"/>
              <w:jc w:val="center"/>
              <w:rPr>
                <w:rFonts w:hint="eastAsia" w:ascii="仿宋" w:hAnsi="仿宋" w:eastAsia="仿宋" w:cs="仿宋"/>
                <w:sz w:val="24"/>
                <w:szCs w:val="24"/>
              </w:rPr>
            </w:pPr>
            <w:r>
              <w:rPr>
                <w:rFonts w:hint="eastAsia" w:ascii="仿宋" w:hAnsi="仿宋" w:eastAsia="仿宋" w:cs="仿宋"/>
                <w:b w:val="0"/>
                <w:sz w:val="24"/>
                <w:szCs w:val="24"/>
              </w:rPr>
              <w:t>改造提升</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sz w:val="24"/>
                <w:szCs w:val="24"/>
              </w:rPr>
              <w:t>淮南市合计</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61.00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28.00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10.00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40.00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val="0"/>
                <w:sz w:val="24"/>
                <w:szCs w:val="24"/>
              </w:rPr>
              <w:t>大通区</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rPr>
            </w:pPr>
            <w:r>
              <w:rPr>
                <w:rFonts w:hint="eastAsia" w:ascii="仿宋" w:hAnsi="仿宋" w:eastAsia="仿宋" w:cs="仿宋"/>
                <w:b w:val="0"/>
                <w:sz w:val="24"/>
                <w:szCs w:val="24"/>
                <w:lang w:val="en-US" w:eastAsia="zh-CN"/>
              </w:rPr>
              <w:t>0.</w:t>
            </w:r>
            <w:r>
              <w:rPr>
                <w:rFonts w:hint="eastAsia" w:ascii="仿宋" w:hAnsi="仿宋" w:cs="仿宋"/>
                <w:b w:val="0"/>
                <w:sz w:val="24"/>
                <w:szCs w:val="24"/>
                <w:lang w:val="en-US" w:eastAsia="zh-CN"/>
              </w:rPr>
              <w:t>65</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rPr>
            </w:pPr>
            <w:r>
              <w:rPr>
                <w:rFonts w:hint="eastAsia" w:ascii="仿宋" w:hAnsi="仿宋" w:eastAsia="仿宋" w:cs="仿宋"/>
                <w:b w:val="0"/>
                <w:sz w:val="24"/>
                <w:szCs w:val="24"/>
                <w:lang w:val="en-US" w:eastAsia="zh-CN"/>
              </w:rPr>
              <w:t>0.35</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rPr>
            </w:pP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rPr>
            </w:pPr>
            <w:r>
              <w:rPr>
                <w:rFonts w:hint="eastAsia" w:ascii="仿宋" w:hAnsi="仿宋" w:eastAsia="仿宋" w:cs="仿宋"/>
                <w:b w:val="0"/>
                <w:sz w:val="24"/>
                <w:szCs w:val="24"/>
                <w:lang w:val="en-US" w:eastAsia="zh-CN"/>
              </w:rPr>
              <w:t>0.40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val="0"/>
                <w:sz w:val="24"/>
                <w:szCs w:val="24"/>
              </w:rPr>
              <w:t>田家庵区</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rPr>
            </w:pPr>
            <w:r>
              <w:rPr>
                <w:rFonts w:hint="eastAsia" w:ascii="仿宋" w:hAnsi="仿宋" w:eastAsia="仿宋" w:cs="仿宋"/>
                <w:b w:val="0"/>
                <w:sz w:val="24"/>
                <w:szCs w:val="24"/>
                <w:lang w:val="en-US" w:eastAsia="zh-CN"/>
              </w:rPr>
              <w:t>1.78</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rPr>
            </w:pP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default" w:ascii="仿宋" w:hAnsi="仿宋" w:eastAsia="仿宋" w:cs="仿宋"/>
                <w:b w:val="0"/>
                <w:sz w:val="24"/>
                <w:szCs w:val="24"/>
                <w:lang w:val="en-US" w:eastAsia="zh-CN"/>
              </w:rPr>
            </w:pPr>
            <w:r>
              <w:rPr>
                <w:rFonts w:hint="eastAsia" w:ascii="仿宋" w:hAnsi="仿宋" w:cs="仿宋"/>
                <w:b w:val="0"/>
                <w:sz w:val="24"/>
                <w:szCs w:val="24"/>
                <w:lang w:val="en-US" w:eastAsia="zh-CN"/>
              </w:rPr>
              <w:t>0.60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val="0"/>
                <w:sz w:val="24"/>
                <w:szCs w:val="24"/>
              </w:rPr>
              <w:t>谢家集区</w:t>
            </w:r>
          </w:p>
        </w:tc>
        <w:tc>
          <w:tcPr>
            <w:tcW w:w="1757"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sz w:val="24"/>
                <w:szCs w:val="24"/>
                <w:lang w:val="en-US" w:eastAsia="en-US" w:bidi="ar-SA"/>
              </w:rPr>
            </w:pP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rPr>
            </w:pPr>
            <w:r>
              <w:rPr>
                <w:rFonts w:hint="eastAsia" w:ascii="仿宋" w:hAnsi="仿宋" w:eastAsia="仿宋" w:cs="仿宋"/>
                <w:b w:val="0"/>
                <w:sz w:val="24"/>
                <w:szCs w:val="24"/>
                <w:lang w:val="en-US" w:eastAsia="zh-CN"/>
              </w:rPr>
              <w:t>0.50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rPr>
            </w:pPr>
            <w:r>
              <w:rPr>
                <w:rFonts w:hint="eastAsia" w:ascii="仿宋" w:hAnsi="仿宋" w:eastAsia="仿宋" w:cs="仿宋"/>
                <w:b w:val="0"/>
                <w:sz w:val="24"/>
                <w:szCs w:val="24"/>
                <w:lang w:val="en-US" w:eastAsia="zh-CN"/>
              </w:rPr>
              <w:t>1.50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rPr>
            </w:pPr>
            <w:r>
              <w:rPr>
                <w:rFonts w:hint="eastAsia" w:ascii="仿宋" w:hAnsi="仿宋" w:eastAsia="仿宋" w:cs="仿宋"/>
                <w:b w:val="0"/>
                <w:sz w:val="24"/>
                <w:szCs w:val="24"/>
                <w:lang w:val="en-US" w:eastAsia="zh-CN"/>
              </w:rPr>
              <w:t>1.80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val="0"/>
                <w:sz w:val="24"/>
                <w:szCs w:val="24"/>
              </w:rPr>
              <w:t>八公山区</w:t>
            </w:r>
          </w:p>
        </w:tc>
        <w:tc>
          <w:tcPr>
            <w:tcW w:w="1757"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sz w:val="24"/>
                <w:szCs w:val="24"/>
                <w:lang w:val="en-US" w:eastAsia="en-US" w:bidi="ar-SA"/>
              </w:rPr>
            </w:pPr>
          </w:p>
        </w:tc>
        <w:tc>
          <w:tcPr>
            <w:tcW w:w="1757"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sz w:val="24"/>
                <w:szCs w:val="24"/>
                <w:lang w:val="en-US" w:eastAsia="en-US" w:bidi="ar-SA"/>
              </w:rPr>
            </w:pPr>
          </w:p>
        </w:tc>
        <w:tc>
          <w:tcPr>
            <w:tcW w:w="1757"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0.30</w:t>
            </w:r>
          </w:p>
        </w:tc>
        <w:tc>
          <w:tcPr>
            <w:tcW w:w="1757" w:type="dxa"/>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sz w:val="24"/>
                <w:szCs w:val="24"/>
                <w:lang w:val="en-US" w:eastAsia="en-US" w:bidi="ar-SA"/>
              </w:rPr>
            </w:pP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val="0"/>
                <w:sz w:val="24"/>
                <w:szCs w:val="24"/>
              </w:rPr>
              <w:t>潘集区</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2.55</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5.25</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0.25</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default"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1.2</w:t>
            </w:r>
            <w:r>
              <w:rPr>
                <w:rFonts w:hint="eastAsia" w:ascii="仿宋" w:hAnsi="仿宋" w:cs="仿宋"/>
                <w:b w:val="0"/>
                <w:sz w:val="24"/>
                <w:szCs w:val="24"/>
                <w:lang w:val="en-US" w:eastAsia="zh-CN" w:bidi="ar-SA"/>
              </w:rPr>
              <w:t>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val="0"/>
                <w:sz w:val="24"/>
                <w:szCs w:val="24"/>
              </w:rPr>
              <w:t>凤台县</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default"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5.1</w:t>
            </w:r>
            <w:r>
              <w:rPr>
                <w:rFonts w:hint="eastAsia" w:ascii="仿宋" w:hAnsi="仿宋" w:cs="仿宋"/>
                <w:b w:val="0"/>
                <w:sz w:val="24"/>
                <w:szCs w:val="24"/>
                <w:lang w:val="en-US" w:eastAsia="zh-CN" w:bidi="ar-SA"/>
              </w:rPr>
              <w:t>2</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9.00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default" w:ascii="仿宋" w:hAnsi="仿宋" w:eastAsia="仿宋" w:cs="仿宋"/>
                <w:b w:val="0"/>
                <w:sz w:val="24"/>
                <w:szCs w:val="24"/>
                <w:lang w:val="en-US" w:eastAsia="zh-CN" w:bidi="ar-SA"/>
              </w:rPr>
            </w:pPr>
            <w:r>
              <w:rPr>
                <w:rFonts w:hint="eastAsia" w:ascii="仿宋" w:hAnsi="仿宋" w:cs="仿宋"/>
                <w:b w:val="0"/>
                <w:sz w:val="24"/>
                <w:szCs w:val="24"/>
                <w:lang w:val="en-US" w:eastAsia="zh-CN" w:bidi="ar-SA"/>
              </w:rPr>
              <w:t>1.75</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5.00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val="0"/>
                <w:sz w:val="24"/>
                <w:szCs w:val="24"/>
              </w:rPr>
              <w:t>毛集实验区</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rPr>
            </w:pP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rPr>
            </w:pPr>
            <w:r>
              <w:rPr>
                <w:rFonts w:hint="eastAsia" w:ascii="仿宋" w:hAnsi="仿宋" w:eastAsia="仿宋" w:cs="仿宋"/>
                <w:b w:val="0"/>
                <w:sz w:val="24"/>
                <w:szCs w:val="24"/>
                <w:lang w:val="en-US" w:eastAsia="zh-CN"/>
              </w:rPr>
              <w:t>5.00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default" w:ascii="仿宋" w:hAnsi="仿宋" w:eastAsia="仿宋" w:cs="仿宋"/>
                <w:b w:val="0"/>
                <w:sz w:val="24"/>
                <w:szCs w:val="24"/>
                <w:lang w:val="en-US" w:eastAsia="zh-CN"/>
              </w:rPr>
            </w:pPr>
            <w:r>
              <w:rPr>
                <w:rFonts w:hint="eastAsia" w:ascii="仿宋" w:hAnsi="仿宋" w:cs="仿宋"/>
                <w:b w:val="0"/>
                <w:sz w:val="24"/>
                <w:szCs w:val="24"/>
                <w:lang w:val="en-US" w:eastAsia="zh-CN"/>
              </w:rPr>
              <w:t>0.50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rPr>
            </w:pPr>
            <w:r>
              <w:rPr>
                <w:rFonts w:hint="eastAsia" w:ascii="仿宋" w:hAnsi="仿宋" w:eastAsia="仿宋" w:cs="仿宋"/>
                <w:b w:val="0"/>
                <w:sz w:val="24"/>
                <w:szCs w:val="24"/>
                <w:lang w:val="en-US" w:eastAsia="zh-CN"/>
              </w:rPr>
              <w:t>2.50</w:t>
            </w:r>
          </w:p>
        </w:tc>
      </w:tr>
      <w:tr>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567" w:hRule="exact"/>
          <w:jc w:val="center"/>
        </w:trPr>
        <w:tc>
          <w:tcPr>
            <w:tcW w:w="1814"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sz w:val="24"/>
                <w:szCs w:val="24"/>
              </w:rPr>
            </w:pPr>
            <w:r>
              <w:rPr>
                <w:rFonts w:hint="eastAsia" w:ascii="仿宋" w:hAnsi="仿宋" w:eastAsia="仿宋" w:cs="仿宋"/>
                <w:b w:val="0"/>
                <w:sz w:val="24"/>
                <w:szCs w:val="24"/>
              </w:rPr>
              <w:t>寿县</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default" w:ascii="仿宋" w:hAnsi="仿宋" w:eastAsia="仿宋" w:cs="仿宋"/>
                <w:b w:val="0"/>
                <w:sz w:val="24"/>
                <w:szCs w:val="24"/>
                <w:lang w:val="en-US" w:eastAsia="en-US" w:bidi="ar-SA"/>
              </w:rPr>
            </w:pPr>
            <w:r>
              <w:rPr>
                <w:rFonts w:hint="eastAsia" w:ascii="仿宋" w:hAnsi="仿宋" w:cs="仿宋"/>
                <w:b w:val="0"/>
                <w:sz w:val="24"/>
                <w:szCs w:val="24"/>
                <w:lang w:val="en-US" w:eastAsia="zh-CN" w:bidi="ar-SA"/>
              </w:rPr>
              <w:t>50.90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eastAsia"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7.90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default" w:ascii="仿宋" w:hAnsi="仿宋" w:eastAsia="仿宋" w:cs="仿宋"/>
                <w:b w:val="0"/>
                <w:sz w:val="24"/>
                <w:szCs w:val="24"/>
                <w:lang w:val="en-US" w:eastAsia="en-US" w:bidi="ar-SA"/>
              </w:rPr>
            </w:pPr>
            <w:r>
              <w:rPr>
                <w:rFonts w:hint="eastAsia" w:ascii="仿宋" w:hAnsi="仿宋" w:cs="仿宋"/>
                <w:b w:val="0"/>
                <w:sz w:val="24"/>
                <w:szCs w:val="24"/>
                <w:lang w:val="en-US" w:eastAsia="zh-CN" w:bidi="ar-SA"/>
              </w:rPr>
              <w:t>5.10</w:t>
            </w:r>
          </w:p>
        </w:tc>
        <w:tc>
          <w:tcPr>
            <w:tcW w:w="1757" w:type="dxa"/>
            <w:vAlign w:val="center"/>
          </w:tcPr>
          <w:p>
            <w:pPr>
              <w:keepNext w:val="0"/>
              <w:keepLines w:val="0"/>
              <w:pageBreakBefore w:val="0"/>
              <w:widowControl/>
              <w:kinsoku/>
              <w:wordWrap/>
              <w:overflowPunct/>
              <w:topLinePunct w:val="0"/>
              <w:autoSpaceDE/>
              <w:autoSpaceDN/>
              <w:bidi w:val="0"/>
              <w:adjustRightInd/>
              <w:snapToGrid/>
              <w:spacing w:before="20" w:after="20" w:line="240" w:lineRule="exact"/>
              <w:ind w:firstLine="0" w:firstLineChars="0"/>
              <w:jc w:val="center"/>
              <w:textAlignment w:val="auto"/>
              <w:rPr>
                <w:rFonts w:hint="default" w:ascii="仿宋" w:hAnsi="仿宋" w:eastAsia="仿宋" w:cs="仿宋"/>
                <w:b w:val="0"/>
                <w:sz w:val="24"/>
                <w:szCs w:val="24"/>
                <w:lang w:val="en-US" w:eastAsia="en-US" w:bidi="ar-SA"/>
              </w:rPr>
            </w:pPr>
            <w:r>
              <w:rPr>
                <w:rFonts w:hint="eastAsia" w:ascii="仿宋" w:hAnsi="仿宋" w:eastAsia="仿宋" w:cs="仿宋"/>
                <w:b w:val="0"/>
                <w:sz w:val="24"/>
                <w:szCs w:val="24"/>
                <w:lang w:val="en-US" w:eastAsia="zh-CN" w:bidi="ar-SA"/>
              </w:rPr>
              <w:t>29.</w:t>
            </w:r>
            <w:r>
              <w:rPr>
                <w:rFonts w:hint="eastAsia" w:ascii="仿宋" w:hAnsi="仿宋" w:cs="仿宋"/>
                <w:b w:val="0"/>
                <w:sz w:val="24"/>
                <w:szCs w:val="24"/>
                <w:lang w:val="en-US" w:eastAsia="zh-CN" w:bidi="ar-SA"/>
              </w:rPr>
              <w:t>10</w:t>
            </w:r>
          </w:p>
        </w:tc>
      </w:tr>
    </w:tbl>
    <w:p>
      <w:pPr>
        <w:spacing w:before="80" w:after="0" w:line="320" w:lineRule="exact"/>
        <w:jc w:val="both"/>
        <w:rPr>
          <w:rFonts w:hint="eastAsia" w:ascii="仿宋" w:hAnsi="仿宋" w:eastAsia="仿宋" w:cs="仿宋"/>
          <w:b/>
          <w:bCs/>
          <w:sz w:val="24"/>
          <w:szCs w:val="24"/>
        </w:rPr>
      </w:pPr>
      <w:r>
        <w:rPr>
          <w:rFonts w:hint="eastAsia" w:ascii="仿宋" w:hAnsi="仿宋" w:eastAsia="仿宋" w:cs="仿宋"/>
          <w:b/>
          <w:bCs/>
          <w:sz w:val="24"/>
          <w:szCs w:val="24"/>
        </w:rPr>
        <w:t>注：各县区申报数，市级统筹平衡后正式分解下达</w:t>
      </w:r>
    </w:p>
    <w:p>
      <w:pPr>
        <w:jc w:val="both"/>
        <w:rPr>
          <w:rFonts w:hint="eastAsia" w:ascii="仿宋" w:hAnsi="仿宋" w:eastAsia="仿宋" w:cs="仿宋"/>
        </w:rPr>
      </w:pPr>
      <w:r>
        <w:rPr>
          <w:rFonts w:hint="eastAsia" w:ascii="仿宋" w:hAnsi="仿宋" w:eastAsia="仿宋" w:cs="仿宋"/>
        </w:rPr>
        <w:br w:type="page"/>
      </w:r>
      <w:bookmarkStart w:id="18" w:name="_GoBack"/>
      <w:bookmarkEnd w:id="18"/>
    </w:p>
    <w:sectPr>
      <w:footerReference r:id="rId7" w:type="default"/>
      <w:pgSz w:w="11906" w:h="16838"/>
      <w:pgMar w:top="2098" w:right="1474" w:bottom="1984" w:left="1587" w:header="720" w:footer="720" w:gutter="0"/>
      <w:pgNumType w:fmt="decimal" w:start="14"/>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ＭＳ ゴシック">
    <w:altName w:val="仿宋"/>
    <w:panose1 w:val="00000000000000000000"/>
    <w:charset w:val="00"/>
    <w:family w:val="auto"/>
    <w:pitch w:val="default"/>
    <w:sig w:usb0="00000000" w:usb1="00000000" w:usb2="00000000" w:usb3="00000000" w:csb0="00000000" w:csb1="00000000"/>
  </w:font>
  <w:font w:name="Courier">
    <w:altName w:val="DejaVu Math TeX Gyre"/>
    <w:panose1 w:val="02000500000000000000"/>
    <w:charset w:val="00"/>
    <w:family w:val="auto"/>
    <w:pitch w:val="default"/>
    <w:sig w:usb0="00000000" w:usb1="00000000" w:usb2="00000000" w:usb3="00000000" w:csb0="00000001" w:csb1="00000000"/>
  </w:font>
  <w:font w:name="ＭＳ 明朝">
    <w:altName w:val="宋体"/>
    <w:panose1 w:val="00000000000000000000"/>
    <w:charset w:val="80"/>
    <w:family w:val="roman"/>
    <w:pitch w:val="default"/>
    <w:sig w:usb0="00000000" w:usb1="00000000" w:usb2="00000010" w:usb3="00000000" w:csb0="00020000" w:csb1="00000000"/>
  </w:font>
  <w:font w:name="Cambria">
    <w:altName w:val="Noto Sans Syriac Eastern"/>
    <w:panose1 w:val="02040503050406030204"/>
    <w:charset w:val="00"/>
    <w:family w:val="auto"/>
    <w:pitch w:val="default"/>
    <w:sig w:usb0="00000000" w:usb1="00000000" w:usb2="02000000" w:usb3="00000000" w:csb0="2000019F"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ＭＳ 明朝">
    <w:altName w:val="国标宋体-超大字符集扩"/>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both"/>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posOffset>2684780</wp:posOffset>
              </wp:positionH>
              <wp:positionV relativeFrom="paragraph">
                <wp:posOffset>-597535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211.4pt;margin-top:-47.05pt;height:144pt;width:144pt;mso-position-horizontal-relative:margin;mso-wrap-style:none;z-index:251659264;mso-width-relative:page;mso-height-relative:page;" filled="f" stroked="f" coordsize="21600,21600" o:gfxdata="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bvXiBdgAAAALAQAADwAAAAAAAAABACAAAAA4AAAAZHJzL2Rvd25yZXYueG1s&#10;UEsBAhQAFAAAAAgAh07iQDwWIvIbAgAAKQQAAA4AAAAAAAAAAQAgAAAAPQEAAGRycy9lMm9Eb2Mu&#10;eG1sUEsFBgAAAAAGAAYAWQEAAMoFAAAAAA==&#10;">
              <v:fill on="f" focussize="0,0"/>
              <v:stroke on="f" weight="0.5pt"/>
              <v:imagedata o:title=""/>
              <o:lock v:ext="edit" aspectratio="f"/>
              <v:textbox inset="0mm,0mm,0mm,0mm" style="mso-fit-shape-to-text:t;">
                <w:txbxContent>
                  <w:p>
                    <w:pPr>
                      <w:pStyle w:val="2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both"/>
      <w:rPr>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posOffset>2684780</wp:posOffset>
              </wp:positionH>
              <wp:positionV relativeFrom="paragraph">
                <wp:posOffset>-597535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211.4pt;margin-top:-47.05pt;height:144pt;width:144pt;mso-position-horizontal-relative:margin;mso-wrap-style:none;z-index:251661312;mso-width-relative:page;mso-height-relative:page;" filled="f" stroked="f" coordsize="21600,21600" o:gfxdata="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BYAAABkcnMvUEsB&#10;AhQAFAAAAAgAh07iQG714gXYAAAACwEAAA8AAAAAAAAAAQAgAAAAOAAAAGRycy9kb3ducmV2Lnht&#10;bFBLAQIUABQAAAAIAIdO4kBJCLMQHAIAACkEAAAOAAAAAAAAAAEAIAAAAD0BAABkcnMvZTJvRG9j&#10;LnhtbFBLBQYAAAAABgAGAFkBAADLBQAAAAA=&#10;">
              <v:fill on="f" focussize="0,0"/>
              <v:stroke on="f" weight="0.5pt"/>
              <v:imagedata o:title=""/>
              <o:lock v:ext="edit" aspectratio="f"/>
              <v:textbox inset="0mm,0mm,0mm,0mm" style="mso-fit-shape-to-text:t;">
                <w:txbxContent>
                  <w:p>
                    <w:pPr>
                      <w:pStyle w:val="2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both"/>
      <w:rPr>
        <w:sz w:val="24"/>
        <w:szCs w:val="24"/>
      </w:rPr>
    </w:pPr>
    <w:r>
      <w:rPr>
        <w:sz w:val="24"/>
      </w:rPr>
      <mc:AlternateContent>
        <mc:Choice Requires="wps">
          <w:drawing>
            <wp:anchor distT="0" distB="0" distL="114300" distR="114300" simplePos="0" relativeHeight="251662336" behindDoc="0" locked="0" layoutInCell="1" allowOverlap="1">
              <wp:simplePos x="0" y="0"/>
              <wp:positionH relativeFrom="margin">
                <wp:posOffset>2684780</wp:posOffset>
              </wp:positionH>
              <wp:positionV relativeFrom="paragraph">
                <wp:posOffset>-597535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211.4pt;margin-top:-47.05pt;height:144pt;width:144pt;mso-position-horizontal-relative:margin;mso-wrap-style:none;z-index:251662336;mso-width-relative:page;mso-height-relative:page;" filled="f" stroked="f" coordsize="21600,21600" o:gfxdata="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WAAAAZHJzL1BL&#10;AQIUABQAAAAIAIdO4kBu9eIF2AAAAAsBAAAPAAAAAAAAAAEAIAAAADgAAABkcnMvZG93bnJldi54&#10;bWxQSwECFAAUAAAACACHTuJAgPEz0h0CAAApBAAADgAAAAAAAAABACAAAAA9AQAAZHJzL2Uyb0Rv&#10;Yy54bWxQSwUGAAAAAAYABgBZAQAAzAUAAAAA&#10;">
              <v:fill on="f" focussize="0,0"/>
              <v:stroke on="f" weight="0.5pt"/>
              <v:imagedata o:title=""/>
              <o:lock v:ext="edit" aspectratio="f"/>
              <v:textbox inset="0mm,0mm,0mm,0mm" style="mso-fit-shape-to-text:t;">
                <w:txbxContent>
                  <w:p>
                    <w:pPr>
                      <w:pStyle w:val="24"/>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1A355"/>
    <w:multiLevelType w:val="singleLevel"/>
    <w:tmpl w:val="8B91A355"/>
    <w:lvl w:ilvl="0" w:tentative="0">
      <w:start w:val="1"/>
      <w:numFmt w:val="decimal"/>
      <w:suff w:val="nothing"/>
      <w:lvlText w:val="%1、"/>
      <w:lvlJc w:val="left"/>
    </w:lvl>
  </w:abstractNum>
  <w:abstractNum w:abstractNumId="1">
    <w:nsid w:val="D2E33905"/>
    <w:multiLevelType w:val="singleLevel"/>
    <w:tmpl w:val="D2E33905"/>
    <w:lvl w:ilvl="0" w:tentative="0">
      <w:start w:val="1"/>
      <w:numFmt w:val="chineseCounting"/>
      <w:suff w:val="nothing"/>
      <w:lvlText w:val="（%1）"/>
      <w:lvlJc w:val="left"/>
      <w:rPr>
        <w:rFonts w:hint="eastAsia"/>
      </w:r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8">
    <w:nsid w:val="4A47C426"/>
    <w:multiLevelType w:val="singleLevel"/>
    <w:tmpl w:val="4A47C426"/>
    <w:lvl w:ilvl="0" w:tentative="0">
      <w:start w:val="1"/>
      <w:numFmt w:val="decimal"/>
      <w:suff w:val="nothing"/>
      <w:lvlText w:val="%1、"/>
      <w:lvlJc w:val="left"/>
    </w:lvl>
  </w:abstractNum>
  <w:abstractNum w:abstractNumId="9">
    <w:nsid w:val="7CF7BB50"/>
    <w:multiLevelType w:val="singleLevel"/>
    <w:tmpl w:val="7CF7BB50"/>
    <w:lvl w:ilvl="0" w:tentative="0">
      <w:start w:val="1"/>
      <w:numFmt w:val="chineseCounting"/>
      <w:suff w:val="nothing"/>
      <w:lvlText w:val="（%1）"/>
      <w:lvlJc w:val="left"/>
      <w:rPr>
        <w:rFonts w:hint="eastAsia"/>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1"/>
  </w:num>
  <w:num w:numId="8">
    <w:abstractNumId w:val="9"/>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720"/>
  <w:displayHorizontalDrawingGridEvery w:val="1"/>
  <w:displayVerticalDrawingGridEvery w:val="1"/>
  <w:noPunctuationKerning w:val="true"/>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FB0577"/>
    <w:rsid w:val="03123956"/>
    <w:rsid w:val="03914CEF"/>
    <w:rsid w:val="052C47FF"/>
    <w:rsid w:val="07666493"/>
    <w:rsid w:val="0AC6541A"/>
    <w:rsid w:val="0E1C78AB"/>
    <w:rsid w:val="140C48AA"/>
    <w:rsid w:val="15543DCE"/>
    <w:rsid w:val="17FE4A37"/>
    <w:rsid w:val="184B14B9"/>
    <w:rsid w:val="193A152D"/>
    <w:rsid w:val="1CCB0E1A"/>
    <w:rsid w:val="1F3F33F9"/>
    <w:rsid w:val="23A203FB"/>
    <w:rsid w:val="25F3159C"/>
    <w:rsid w:val="26D42FC1"/>
    <w:rsid w:val="274F2647"/>
    <w:rsid w:val="278B7B24"/>
    <w:rsid w:val="27B16E5E"/>
    <w:rsid w:val="28DD75F0"/>
    <w:rsid w:val="294A30C6"/>
    <w:rsid w:val="29EB48A9"/>
    <w:rsid w:val="2B1D60D0"/>
    <w:rsid w:val="2F1A353B"/>
    <w:rsid w:val="2FD63906"/>
    <w:rsid w:val="31EF4BA0"/>
    <w:rsid w:val="33022C64"/>
    <w:rsid w:val="34254976"/>
    <w:rsid w:val="34ED4A7B"/>
    <w:rsid w:val="376B527C"/>
    <w:rsid w:val="38315884"/>
    <w:rsid w:val="3BBF16F2"/>
    <w:rsid w:val="3D6F7148"/>
    <w:rsid w:val="3DA716DE"/>
    <w:rsid w:val="3F86141A"/>
    <w:rsid w:val="406C5A4F"/>
    <w:rsid w:val="41EC0D67"/>
    <w:rsid w:val="43B1159F"/>
    <w:rsid w:val="4712320F"/>
    <w:rsid w:val="471F55C4"/>
    <w:rsid w:val="489F6B33"/>
    <w:rsid w:val="48BB76E5"/>
    <w:rsid w:val="49717352"/>
    <w:rsid w:val="4E294304"/>
    <w:rsid w:val="4FA7451F"/>
    <w:rsid w:val="4FAB5580"/>
    <w:rsid w:val="508221E4"/>
    <w:rsid w:val="536F35A6"/>
    <w:rsid w:val="53BB67EB"/>
    <w:rsid w:val="55CB554A"/>
    <w:rsid w:val="56116B96"/>
    <w:rsid w:val="587A107C"/>
    <w:rsid w:val="58BA08BE"/>
    <w:rsid w:val="59DC2733"/>
    <w:rsid w:val="5A44578C"/>
    <w:rsid w:val="5AE64A95"/>
    <w:rsid w:val="5DDC4339"/>
    <w:rsid w:val="5E944208"/>
    <w:rsid w:val="5FF4730D"/>
    <w:rsid w:val="63DA4A6C"/>
    <w:rsid w:val="68D1407C"/>
    <w:rsid w:val="6C382C77"/>
    <w:rsid w:val="6D425CCF"/>
    <w:rsid w:val="6D437B25"/>
    <w:rsid w:val="6F7C5682"/>
    <w:rsid w:val="72347A3D"/>
    <w:rsid w:val="7329156C"/>
    <w:rsid w:val="73465C7A"/>
    <w:rsid w:val="757E0622"/>
    <w:rsid w:val="75DC0B17"/>
    <w:rsid w:val="76AE7C7C"/>
    <w:rsid w:val="78B611AB"/>
    <w:rsid w:val="79BA2F1D"/>
    <w:rsid w:val="7E234CED"/>
    <w:rsid w:val="7F657C66"/>
    <w:rsid w:val="7FF06C51"/>
    <w:rsid w:val="BDCDC18D"/>
    <w:rsid w:val="FF2C526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imes New Roman" w:hAnsi="Times New Roman" w:eastAsia="仿宋" w:cstheme="minorBidi"/>
      <w:sz w:val="32"/>
      <w:szCs w:val="22"/>
      <w:lang w:val="en-US" w:eastAsia="en-US" w:bidi="ar-SA"/>
    </w:rPr>
  </w:style>
  <w:style w:type="paragraph" w:styleId="4">
    <w:name w:val="heading 1"/>
    <w:basedOn w:val="1"/>
    <w:next w:val="1"/>
    <w:link w:val="14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2">
    <w:name w:val="heading 2"/>
    <w:basedOn w:val="1"/>
    <w:next w:val="1"/>
    <w:link w:val="14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3">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toc 1"/>
    <w:basedOn w:val="1"/>
    <w:next w:val="1"/>
    <w:semiHidden/>
    <w:unhideWhenUsed/>
    <w:qFormat/>
    <w:uiPriority w:val="39"/>
  </w:style>
  <w:style w:type="paragraph" w:styleId="27">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toc 2"/>
    <w:basedOn w:val="1"/>
    <w:next w:val="1"/>
    <w:semiHidden/>
    <w:unhideWhenUsed/>
    <w:qFormat/>
    <w:uiPriority w:val="39"/>
    <w:pPr>
      <w:ind w:left="420" w:leftChars="200"/>
    </w:pPr>
  </w:style>
  <w:style w:type="paragraph" w:styleId="30">
    <w:name w:val="Body Text 2"/>
    <w:basedOn w:val="1"/>
    <w:link w:val="147"/>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customStyle="1" w:styleId="137">
    <w:name w:val="Header Char"/>
    <w:basedOn w:val="134"/>
    <w:link w:val="25"/>
    <w:qFormat/>
    <w:uiPriority w:val="99"/>
  </w:style>
  <w:style w:type="character" w:customStyle="1" w:styleId="138">
    <w:name w:val="Footer Char"/>
    <w:basedOn w:val="134"/>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4"/>
    <w:link w:val="4"/>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4"/>
    <w:link w:val="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4"/>
    <w:link w:val="19"/>
    <w:qFormat/>
    <w:uiPriority w:val="99"/>
  </w:style>
  <w:style w:type="character" w:customStyle="1" w:styleId="147">
    <w:name w:val="Body Text 2 Char"/>
    <w:basedOn w:val="134"/>
    <w:link w:val="30"/>
    <w:qFormat/>
    <w:uiPriority w:val="99"/>
  </w:style>
  <w:style w:type="character" w:customStyle="1" w:styleId="148">
    <w:name w:val="Body Text 3 Char"/>
    <w:basedOn w:val="134"/>
    <w:link w:val="17"/>
    <w:qFormat/>
    <w:uiPriority w:val="99"/>
    <w:rPr>
      <w:sz w:val="16"/>
      <w:szCs w:val="16"/>
    </w:rPr>
  </w:style>
  <w:style w:type="character" w:customStyle="1" w:styleId="149">
    <w:name w:val="Macro Text Char"/>
    <w:basedOn w:val="134"/>
    <w:link w:val="3"/>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4"/>
    <w:link w:val="150"/>
    <w:qFormat/>
    <w:uiPriority w:val="29"/>
    <w:rPr>
      <w:i/>
      <w:iCs/>
      <w:color w:val="000000" w:themeColor="text1"/>
      <w14:textFill>
        <w14:solidFill>
          <w14:schemeClr w14:val="tx1"/>
        </w14:solidFill>
      </w14:textFill>
    </w:rPr>
  </w:style>
  <w:style w:type="character" w:customStyle="1" w:styleId="152">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4"/>
    <w:link w:val="158"/>
    <w:qFormat/>
    <w:uiPriority w:val="30"/>
    <w:rPr>
      <w:b/>
      <w:bCs/>
      <w:i/>
      <w:iCs/>
      <w:color w:val="4F81BD" w:themeColor="accent1"/>
      <w14:textFill>
        <w14:solidFill>
          <w14:schemeClr w14:val="accent1"/>
        </w14:solidFill>
      </w14:textFill>
    </w:rPr>
  </w:style>
  <w:style w:type="character" w:customStyle="1" w:styleId="160">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4"/>
    <w:qFormat/>
    <w:uiPriority w:val="21"/>
    <w:rPr>
      <w:b/>
      <w:bCs/>
      <w:i/>
      <w:iCs/>
      <w:color w:val="4F81BD" w:themeColor="accent1"/>
      <w14:textFill>
        <w14:solidFill>
          <w14:schemeClr w14:val="accent1"/>
        </w14:solidFill>
      </w14:textFill>
    </w:rPr>
  </w:style>
  <w:style w:type="character" w:customStyle="1" w:styleId="162">
    <w:name w:val="Subtle Reference"/>
    <w:basedOn w:val="134"/>
    <w:qFormat/>
    <w:uiPriority w:val="31"/>
    <w:rPr>
      <w:smallCaps/>
      <w:color w:val="C0504D" w:themeColor="accent2"/>
      <w:u w:val="single"/>
      <w14:textFill>
        <w14:solidFill>
          <w14:schemeClr w14:val="accent2"/>
        </w14:solidFill>
      </w14:textFill>
    </w:rPr>
  </w:style>
  <w:style w:type="character" w:customStyle="1" w:styleId="163">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4"/>
    <w:qFormat/>
    <w:uiPriority w:val="33"/>
    <w:rPr>
      <w:b/>
      <w:bCs/>
      <w:smallCaps/>
      <w:spacing w:val="5"/>
    </w:rPr>
  </w:style>
  <w:style w:type="paragraph" w:customStyle="1" w:styleId="165">
    <w:name w:val="TOC Heading"/>
    <w:basedOn w:val="4"/>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tint val="100000"/>
                <a:shade val="100000"/>
                <a:satMod val="130000"/>
              </a:schemeClr>
            </a:gs>
            <a:gs pos="100000">
              <a:schemeClr val="phClr">
                <a:tint val="50000"/>
                <a:shade val="100000"/>
                <a:satMod val="350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6622</Words>
  <Characters>6831</Characters>
  <Lines>0</Lines>
  <Paragraphs>0</Paragraphs>
  <TotalTime>164</TotalTime>
  <ScaleCrop>false</ScaleCrop>
  <LinksUpToDate>false</LinksUpToDate>
  <CharactersWithSpaces>6895</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2013-12-25T07:15:00Z</dcterms:created>
  <dc:creator>python-docx</dc:creator>
  <dc:description>generated by python-docx</dc:description>
  <cp:lastModifiedBy>uos</cp:lastModifiedBy>
  <cp:lastPrinted>2026-10-16T17:12:00Z</cp:lastPrinted>
  <dcterms:modified xsi:type="dcterms:W3CDTF">2026-10-19T17:14:08Z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eyJoZGlkIjoiZmNhZGFmOGI3ZGU4ZGY1MjUxYWJhYzIzYjg3ODhjYTEiLCJ1c2VySWQiOiIxMzc4Njg0NzQ2In0=</vt:lpwstr>
  </property>
  <property fmtid="{D5CDD505-2E9C-101B-9397-08002B2CF9AE}" pid="3" name="KSOProductBuildVer">
    <vt:lpwstr>2052-11.8.2.9695</vt:lpwstr>
  </property>
  <property fmtid="{D5CDD505-2E9C-101B-9397-08002B2CF9AE}" pid="4" name="ICV">
    <vt:lpwstr>DD6D2C3FB4744B2D8A5084BA9615F4FD_12</vt:lpwstr>
  </property>
</Properties>
</file>